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2D80F" w14:textId="77777777" w:rsidR="00B577D0" w:rsidRDefault="00000000">
      <w:pPr>
        <w:pStyle w:val="DocumentIdentifier"/>
        <w:jc w:val="left"/>
        <w:rPr>
          <w:rFonts w:ascii="Arial" w:hAnsi="Arial" w:eastAsia="Arial" w:cs="Arial"/>
          <w:sz w:val="22"/>
          <w:szCs w:val="22"/>
        </w:rPr>
      </w:pPr>
      <w:r>
        <w:t>General Organisation Theory  |  Part 0  |  Issue 1</w:t>
        <w:rPr>
          <w:rFonts w:ascii="Arial" w:hAnsi="Arial" w:eastAsia="Arial" w:cs="Arial"/>
          <w:sz w:val="22"/>
          <w:szCs w:val="22"/>
        </w:rPr>
      </w:r>
    </w:p>
    <w:p w14:paraId="7A878ED0" w14:textId="77777777" w:rsidR="00B577D0" w:rsidRDefault="00000000">
      <w:pPr>
        <w:pStyle w:val="Title"/>
        <w:jc w:val="left"/>
        <w:rPr>
          <w:rFonts w:ascii="Arial" w:hAnsi="Arial" w:eastAsia="Arial" w:cs="Arial"/>
          <w:sz w:val="40"/>
          <w:szCs w:val="40"/>
          <w:b w:val="1"/>
          <w:bCs w:val="1"/>
        </w:rPr>
      </w:pPr>
      <w:r>
        <w:t>Reading Guide</w:t>
        <w:rPr>
          <w:rFonts w:ascii="Arial" w:hAnsi="Arial" w:eastAsia="Arial" w:cs="Arial"/>
          <w:sz w:val="40"/>
          <w:szCs w:val="40"/>
          <w:b w:val="1"/>
          <w:bCs w:val="1"/>
        </w:rPr>
      </w:r>
    </w:p>
    <w:p w14:paraId="3D7EB9D3" w14:textId="1B7ACE6B" w:rsidR="00B577D0" w:rsidRDefault="00000000">
      <w:pPr>
        <w:jc w:val="left"/>
        <w:rPr>
          <w:rFonts w:ascii="Arial" w:hAnsi="Arial" w:eastAsia="Arial" w:cs="Arial"/>
          <w:sz w:val="22"/>
          <w:szCs w:val="22"/>
        </w:rPr>
      </w:pPr>
      <w:r>
        <w:t xml:space="preserve">For Issue 1, Part 0 provides this reading guide and the master support documents. </w:t>
        <w:rPr>
          <w:rFonts w:ascii="Arial" w:hAnsi="Arial" w:eastAsia="Arial" w:cs="Arial"/>
          <w:sz w:val="22"/>
          <w:szCs w:val="22"/>
        </w:rPr>
      </w:r>
      <w:r w:rsidR="004712EE">
        <w:t xml:space="preserve">It is also the home of any pending review elements.  </w:t>
        <w:rPr>
          <w:rFonts w:ascii="Arial" w:hAnsi="Arial" w:eastAsia="Arial" w:cs="Arial"/>
          <w:sz w:val="22"/>
          <w:szCs w:val="22"/>
        </w:rPr>
      </w:r>
      <w:r>
        <w:t>The guide helps readers find their way into General Organisation Theory (GOT), follow the papers and recover information across the series. The technical arguments are developed in Parts 1–3, culminating in The Epistemic Method (TEM).</w:t>
        <w:rPr>
          <w:rFonts w:ascii="Arial" w:hAnsi="Arial" w:eastAsia="Arial" w:cs="Arial"/>
          <w:sz w:val="22"/>
          <w:szCs w:val="22"/>
        </w:rPr>
      </w:r>
    </w:p>
    <w:p w14:paraId="41AB9BA9" w14:textId="77777777" w:rsidR="00B577D0" w:rsidRDefault="00000000">
      <w:pPr>
        <w:pStyle w:val="FlattenedHeading1"/>
        <w:numPr>
          <w:ilvl w:val="0"/>
          <w:numId w:val="0"/>
        </w:numPr>
        <w:outlineLvl w:val="9"/>
        <w:rPr>
          <w:rFonts w:ascii="Arial" w:hAnsi="Arial" w:eastAsia="Arial" w:cs="Arial"/>
          <w:sz w:val="30"/>
          <w:szCs w:val="30"/>
          <w:b w:val="1"/>
          <w:bCs w:val="1"/>
        </w:rPr>
      </w:pPr>
      <w:r>
        <w:t>Start with the preludes</w:t>
        <w:rPr>
          <w:rFonts w:ascii="Arial" w:hAnsi="Arial" w:eastAsia="Arial" w:cs="Arial"/>
          <w:sz w:val="30"/>
          <w:szCs w:val="30"/>
          <w:b w:val="1"/>
          <w:bCs w:val="1"/>
        </w:rPr>
      </w:r>
    </w:p>
    <w:p w14:paraId="6F7F6B39" w14:textId="7D5335EC" w:rsidR="00B577D0" w:rsidRDefault="00000000">
      <w:pPr>
        <w:jc w:val="left"/>
        <w:rPr>
          <w:rFonts w:ascii="Arial" w:hAnsi="Arial" w:eastAsia="Arial" w:cs="Arial"/>
          <w:sz w:val="22"/>
          <w:szCs w:val="22"/>
        </w:rPr>
      </w:pPr>
      <w:r>
        <w:t>The preludes are the easy access route to the papers. Each introduces the question its Part addresses, the approach it proposes and the sequence of papers that develops the argument</w:t>
        <w:rPr>
          <w:rFonts w:ascii="Arial" w:hAnsi="Arial" w:eastAsia="Arial" w:cs="Arial"/>
          <w:sz w:val="22"/>
          <w:szCs w:val="22"/>
        </w:rPr>
      </w:r>
      <w:r w:rsidR="004712EE">
        <w:t xml:space="preserve"> and potential stakes</w:t>
        <w:rPr>
          <w:rFonts w:ascii="Arial" w:hAnsi="Arial" w:eastAsia="Arial" w:cs="Arial"/>
          <w:sz w:val="22"/>
          <w:szCs w:val="22"/>
        </w:rPr>
      </w:r>
      <w:r>
        <w:t>.</w:t>
        <w:rPr>
          <w:rFonts w:ascii="Arial" w:hAnsi="Arial" w:eastAsia="Arial" w:cs="Arial"/>
          <w:sz w:val="22"/>
          <w:szCs w:val="22"/>
        </w:rPr>
      </w:r>
    </w:p>
    <w:p w14:paraId="064158D4" w14:textId="7952668B" w:rsidR="00B577D0" w:rsidRDefault="00000000">
      <w:pPr>
        <w:jc w:val="left"/>
        <w:rPr>
          <w:rFonts w:ascii="Arial" w:hAnsi="Arial" w:eastAsia="Arial" w:cs="Arial"/>
          <w:sz w:val="22"/>
          <w:szCs w:val="22"/>
        </w:rPr>
      </w:pPr>
      <w:r>
        <w:t>For an overview, read the six Issue 1 preludes in the order below</w:t>
        <w:rPr>
          <w:rFonts w:ascii="Arial" w:hAnsi="Arial" w:eastAsia="Arial" w:cs="Arial"/>
          <w:sz w:val="22"/>
          <w:szCs w:val="22"/>
        </w:rPr>
      </w:r>
      <w:r w:rsidR="004712EE">
        <w:t>, there is a master document with all of the preludes conglomerated alongside this guide</w:t>
        <w:rPr>
          <w:rFonts w:ascii="Arial" w:hAnsi="Arial" w:eastAsia="Arial" w:cs="Arial"/>
          <w:sz w:val="22"/>
          <w:szCs w:val="22"/>
        </w:rPr>
      </w:r>
      <w:r>
        <w:t xml:space="preserve">. </w:t>
        <w:rPr>
          <w:rFonts w:ascii="Arial" w:hAnsi="Arial" w:eastAsia="Arial" w:cs="Arial"/>
          <w:sz w:val="22"/>
          <w:szCs w:val="22"/>
        </w:rPr>
      </w:r>
      <w:r w:rsidR="004712EE">
        <w:br/>
        <w:rPr>
          <w:rFonts w:ascii="Arial" w:hAnsi="Arial" w:eastAsia="Arial" w:cs="Arial"/>
          <w:sz w:val="22"/>
          <w:szCs w:val="22"/>
        </w:rPr>
      </w:r>
      <w:r w:rsidR="004712EE">
        <w:br/>
        <w:rPr>
          <w:rFonts w:ascii="Arial" w:hAnsi="Arial" w:eastAsia="Arial" w:cs="Arial"/>
          <w:sz w:val="22"/>
          <w:szCs w:val="22"/>
        </w:rPr>
      </w:r>
      <w:r>
        <w:t>For a full reading, follow each prelude with its papers before moving to the next Part.</w:t>
        <w:rPr>
          <w:rFonts w:ascii="Arial" w:hAnsi="Arial" w:eastAsia="Arial" w:cs="Arial"/>
          <w:sz w:val="22"/>
          <w:szCs w:val="22"/>
        </w:rPr>
      </w:r>
    </w:p>
    <w:tbl>
      <w:tblPr>
        <w:tblW w:w="9026"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75" w:type="dxa"/>
          <w:left w:w="95" w:type="dxa"/>
          <w:bottom w:w="75" w:type="dxa"/>
          <w:right w:w="95" w:type="dxa"/>
        </w:tblCellMar>
        <w:tblLook w:val="04A0" w:firstRow="1" w:lastRow="0" w:firstColumn="1" w:lastColumn="0" w:noHBand="0" w:noVBand="1"/>
      </w:tblPr>
      <w:tblGrid>
        <w:gridCol w:w="1555"/>
        <w:gridCol w:w="7471"/>
      </w:tblGrid>
      <w:tr w:rsidR="00B577D0" w14:paraId="458C50D0" w14:textId="77777777" w:rsidTr="004712EE">
        <w:trPr>
          <w:cantSplit/>
          <w:tblHeader w:val="1"/>
          <w:jc w:val="center"/>
        </w:trPr>
        <w:tc>
          <w:tcPr>
            <w:tcW w:w="1555" w:type="dxa"/>
            <w:shd w:val="clear" w:color="auto" w:fill="EDEDED"/>
            <w:vAlign w:val="center"/>
            <w:tcBorders>
              <w:top w:val="single" w:sz="4" w:color="7F7F7F" w:space="0"/>
              <w:left w:val="single" w:sz="4" w:color="7F7F7F" w:space="0"/>
              <w:bottom w:val="single" w:sz="4" w:color="7F7F7F" w:space="0"/>
              <w:right w:val="single" w:sz="4" w:color="7F7F7F" w:space="0"/>
            </w:tcBorders>
          </w:tcPr>
          <w:p w14:paraId="13F97EE1" w14:textId="77777777" w:rsidR="00B577D0" w:rsidRDefault="00000000">
            <w:pPr>
              <w:keepNext/>
              <w:spacing w:after="0"/>
              <w:jc w:val="left"/>
              <w:rPr>
                <w:rFonts w:ascii="Arial" w:hAnsi="Arial" w:eastAsia="Arial" w:cs="Arial"/>
                <w:sz w:val="20"/>
                <w:szCs w:val="20"/>
              </w:rPr>
            </w:pPr>
            <w:r>
              <w:rPr>
                <w:b w:val="1"/>
                <w:sz w:val="20"/>
                <w:rFonts w:ascii="Arial" w:hAnsi="Arial" w:eastAsia="Arial" w:cs="Arial"/>
                <w:szCs w:val="20"/>
                <w:bCs w:val="1"/>
              </w:rPr>
              <w:t>Prelude</w:t>
            </w:r>
          </w:p>
        </w:tc>
        <w:tc>
          <w:tcPr>
            <w:tcW w:w="7471" w:type="dxa"/>
            <w:shd w:val="clear" w:color="auto" w:fill="EDEDED"/>
            <w:vAlign w:val="center"/>
            <w:tcBorders>
              <w:top w:val="single" w:sz="4" w:color="7F7F7F" w:space="0"/>
              <w:left w:val="single" w:sz="4" w:color="7F7F7F" w:space="0"/>
              <w:bottom w:val="single" w:sz="4" w:color="7F7F7F" w:space="0"/>
              <w:right w:val="single" w:sz="4" w:color="7F7F7F" w:space="0"/>
            </w:tcBorders>
          </w:tcPr>
          <w:p w14:paraId="65854A9D" w14:textId="77777777" w:rsidR="00B577D0" w:rsidRDefault="00000000">
            <w:pPr>
              <w:keepNext/>
              <w:spacing w:after="0"/>
              <w:jc w:val="left"/>
              <w:rPr>
                <w:rFonts w:ascii="Arial" w:hAnsi="Arial" w:eastAsia="Arial" w:cs="Arial"/>
                <w:sz w:val="20"/>
                <w:szCs w:val="20"/>
              </w:rPr>
            </w:pPr>
            <w:r>
              <w:rPr>
                <w:b w:val="1"/>
                <w:sz w:val="20"/>
                <w:rFonts w:ascii="Arial" w:hAnsi="Arial" w:eastAsia="Arial" w:cs="Arial"/>
                <w:szCs w:val="20"/>
                <w:bCs w:val="1"/>
              </w:rPr>
              <w:t>Route into the papers</w:t>
            </w:r>
          </w:p>
        </w:tc>
      </w:tr>
      <w:tr w:rsidR="00B577D0" w14:paraId="4A3BCFB0" w14:textId="77777777" w:rsidTr="004712EE">
        <w:trPr>
          <w:cantSplit/>
          <w:jc w:val="center"/>
        </w:trPr>
        <w:tc>
          <w:tcPr>
            <w:tcW w:w="1555" w:type="dxa"/>
            <w:vAlign w:val="center"/>
            <w:tcBorders>
              <w:top w:val="single" w:sz="4" w:color="7F7F7F" w:space="0"/>
              <w:left w:val="single" w:sz="4" w:color="7F7F7F" w:space="0"/>
              <w:bottom w:val="single" w:sz="4" w:color="7F7F7F" w:space="0"/>
              <w:right w:val="single" w:sz="4" w:color="7F7F7F" w:space="0"/>
            </w:tcBorders>
          </w:tcPr>
          <w:p w14:paraId="330504FE" w14:textId="77777777" w:rsidR="00B577D0" w:rsidRDefault="00B577D0">
            <w:pPr>
              <w:spacing w:after="0"/>
              <w:jc w:val="left"/>
              <w:rPr>
                <w:rFonts w:ascii="Arial" w:hAnsi="Arial" w:eastAsia="Arial" w:cs="Arial"/>
                <w:sz w:val="20"/>
                <w:szCs w:val="20"/>
              </w:rPr>
            </w:pPr>
            <w:hyperlink r:id="rId8">
              <w:r>
                <w:rPr>
                  <w:sz w:val="20"/>
                  <w:u w:val="single"/>
                  <w:rFonts w:ascii="Arial" w:hAnsi="Arial" w:eastAsia="Arial" w:cs="Arial"/>
                  <w:szCs w:val="20"/>
                </w:rPr>
                <w:t>Part 1</w:t>
              </w:r>
            </w:hyperlink>
          </w:p>
        </w:tc>
        <w:tc>
          <w:tcPr>
            <w:tcW w:w="7471" w:type="dxa"/>
            <w:vAlign w:val="center"/>
            <w:tcBorders>
              <w:top w:val="single" w:sz="4" w:color="7F7F7F" w:space="0"/>
              <w:left w:val="single" w:sz="4" w:color="7F7F7F" w:space="0"/>
              <w:bottom w:val="single" w:sz="4" w:color="7F7F7F" w:space="0"/>
              <w:right w:val="single" w:sz="4" w:color="7F7F7F" w:space="0"/>
            </w:tcBorders>
          </w:tcPr>
          <w:p w14:paraId="629D5E69" w14:textId="77777777" w:rsidR="00B577D0" w:rsidRDefault="00000000">
            <w:pPr>
              <w:spacing w:after="0"/>
              <w:jc w:val="left"/>
              <w:rPr>
                <w:rFonts w:ascii="Arial" w:hAnsi="Arial" w:eastAsia="Arial" w:cs="Arial"/>
                <w:sz w:val="20"/>
                <w:szCs w:val="20"/>
              </w:rPr>
            </w:pPr>
            <w:r>
              <w:rPr>
                <w:b/>
                <w:sz w:val="20"/>
                <w:rFonts w:ascii="Arial" w:hAnsi="Arial" w:eastAsia="Arial" w:cs="Arial"/>
                <w:szCs w:val="20"/>
              </w:rPr>
              <w:t>On the Origin of Life</w:t>
            </w:r>
            <w:r>
              <w:rPr>
                <w:sz w:val="20"/>
                <w:rFonts w:ascii="Arial" w:hAnsi="Arial" w:eastAsia="Arial" w:cs="Arial"/>
                <w:szCs w:val="20"/>
              </w:rPr>
              <w:br/>
              <w:t>From the proposed account of Life to its identification and attribution.</w:t>
            </w:r>
          </w:p>
        </w:tc>
      </w:tr>
      <w:tr w:rsidR="00B577D0" w14:paraId="184F2CDA" w14:textId="77777777" w:rsidTr="004712EE">
        <w:trPr>
          <w:cantSplit/>
          <w:jc w:val="center"/>
        </w:trPr>
        <w:tc>
          <w:tcPr>
            <w:tcW w:w="1555" w:type="dxa"/>
            <w:vAlign w:val="center"/>
            <w:tcBorders>
              <w:top w:val="single" w:sz="4" w:color="7F7F7F" w:space="0"/>
              <w:left w:val="single" w:sz="4" w:color="7F7F7F" w:space="0"/>
              <w:bottom w:val="single" w:sz="4" w:color="7F7F7F" w:space="0"/>
              <w:right w:val="single" w:sz="4" w:color="7F7F7F" w:space="0"/>
            </w:tcBorders>
          </w:tcPr>
          <w:p w14:paraId="739B8234" w14:textId="77777777" w:rsidR="00B577D0" w:rsidRDefault="00B577D0">
            <w:pPr>
              <w:spacing w:after="0"/>
              <w:jc w:val="left"/>
              <w:rPr>
                <w:rFonts w:ascii="Arial" w:hAnsi="Arial" w:eastAsia="Arial" w:cs="Arial"/>
                <w:sz w:val="20"/>
                <w:szCs w:val="20"/>
              </w:rPr>
            </w:pPr>
            <w:hyperlink r:id="rId9">
              <w:r>
                <w:rPr>
                  <w:sz w:val="20"/>
                  <w:u w:val="single"/>
                  <w:rFonts w:ascii="Arial" w:hAnsi="Arial" w:eastAsia="Arial" w:cs="Arial"/>
                  <w:szCs w:val="20"/>
                </w:rPr>
                <w:t>Part 2a</w:t>
              </w:r>
            </w:hyperlink>
          </w:p>
        </w:tc>
        <w:tc>
          <w:tcPr>
            <w:tcW w:w="7471" w:type="dxa"/>
            <w:vAlign w:val="center"/>
            <w:tcBorders>
              <w:top w:val="single" w:sz="4" w:color="7F7F7F" w:space="0"/>
              <w:left w:val="single" w:sz="4" w:color="7F7F7F" w:space="0"/>
              <w:bottom w:val="single" w:sz="4" w:color="7F7F7F" w:space="0"/>
              <w:right w:val="single" w:sz="4" w:color="7F7F7F" w:space="0"/>
            </w:tcBorders>
          </w:tcPr>
          <w:p w14:paraId="2FDEFAFB" w14:textId="77777777" w:rsidR="00B577D0" w:rsidRDefault="00000000">
            <w:pPr>
              <w:spacing w:after="0"/>
              <w:jc w:val="left"/>
              <w:rPr>
                <w:rFonts w:ascii="Arial" w:hAnsi="Arial" w:eastAsia="Arial" w:cs="Arial"/>
                <w:sz w:val="20"/>
                <w:szCs w:val="20"/>
              </w:rPr>
            </w:pPr>
            <w:r>
              <w:rPr>
                <w:b/>
                <w:sz w:val="20"/>
                <w:rFonts w:ascii="Arial" w:hAnsi="Arial" w:eastAsia="Arial" w:cs="Arial"/>
                <w:szCs w:val="20"/>
              </w:rPr>
              <w:t>Informational Architecture</w:t>
            </w:r>
            <w:r>
              <w:rPr>
                <w:sz w:val="20"/>
                <w:rFonts w:ascii="Arial" w:hAnsi="Arial" w:eastAsia="Arial" w:cs="Arial"/>
                <w:szCs w:val="20"/>
              </w:rPr>
              <w:br/>
              <w:t>Reference conditions, signal, realism and relational form.</w:t>
            </w:r>
          </w:p>
        </w:tc>
      </w:tr>
      <w:tr w:rsidR="00B577D0" w14:paraId="60A28C7A" w14:textId="77777777" w:rsidTr="004712EE">
        <w:trPr>
          <w:cantSplit/>
          <w:jc w:val="center"/>
        </w:trPr>
        <w:tc>
          <w:tcPr>
            <w:tcW w:w="1555" w:type="dxa"/>
            <w:vAlign w:val="center"/>
            <w:tcBorders>
              <w:top w:val="single" w:sz="4" w:color="7F7F7F" w:space="0"/>
              <w:left w:val="single" w:sz="4" w:color="7F7F7F" w:space="0"/>
              <w:bottom w:val="single" w:sz="4" w:color="7F7F7F" w:space="0"/>
              <w:right w:val="single" w:sz="4" w:color="7F7F7F" w:space="0"/>
            </w:tcBorders>
          </w:tcPr>
          <w:p w14:paraId="30786D7B" w14:textId="77777777" w:rsidR="00B577D0" w:rsidRDefault="00B577D0">
            <w:pPr>
              <w:spacing w:after="0"/>
              <w:jc w:val="left"/>
              <w:rPr>
                <w:rFonts w:ascii="Arial" w:hAnsi="Arial" w:eastAsia="Arial" w:cs="Arial"/>
                <w:sz w:val="20"/>
                <w:szCs w:val="20"/>
              </w:rPr>
            </w:pPr>
            <w:hyperlink r:id="rId10">
              <w:r>
                <w:rPr>
                  <w:sz w:val="20"/>
                  <w:u w:val="single"/>
                  <w:rFonts w:ascii="Arial" w:hAnsi="Arial" w:eastAsia="Arial" w:cs="Arial"/>
                  <w:szCs w:val="20"/>
                </w:rPr>
                <w:t>Part 2b</w:t>
              </w:r>
            </w:hyperlink>
          </w:p>
        </w:tc>
        <w:tc>
          <w:tcPr>
            <w:tcW w:w="7471" w:type="dxa"/>
            <w:vAlign w:val="center"/>
            <w:tcBorders>
              <w:top w:val="single" w:sz="4" w:color="7F7F7F" w:space="0"/>
              <w:left w:val="single" w:sz="4" w:color="7F7F7F" w:space="0"/>
              <w:bottom w:val="single" w:sz="4" w:color="7F7F7F" w:space="0"/>
              <w:right w:val="single" w:sz="4" w:color="7F7F7F" w:space="0"/>
            </w:tcBorders>
          </w:tcPr>
          <w:p w14:paraId="170CC9B3" w14:textId="77777777" w:rsidR="00B577D0" w:rsidRDefault="00000000">
            <w:pPr>
              <w:spacing w:after="0"/>
              <w:jc w:val="left"/>
              <w:rPr>
                <w:rFonts w:ascii="Arial" w:hAnsi="Arial" w:eastAsia="Arial" w:cs="Arial"/>
                <w:sz w:val="20"/>
                <w:szCs w:val="20"/>
              </w:rPr>
            </w:pPr>
            <w:r>
              <w:rPr>
                <w:b/>
                <w:sz w:val="20"/>
                <w:rFonts w:ascii="Arial" w:hAnsi="Arial" w:eastAsia="Arial" w:cs="Arial"/>
                <w:szCs w:val="20"/>
              </w:rPr>
              <w:t>Knowledge, Intelligence, and Observation</w:t>
            </w:r>
            <w:r>
              <w:rPr>
                <w:sz w:val="20"/>
                <w:rFonts w:ascii="Arial" w:hAnsi="Arial" w:eastAsia="Arial" w:cs="Arial"/>
                <w:szCs w:val="20"/>
              </w:rPr>
              <w:br/>
              <w:t>Retained distinctions, their application and observation, followed by limits, scale and operational conditions.</w:t>
            </w:r>
          </w:p>
        </w:tc>
      </w:tr>
      <w:tr w:rsidR="00B577D0" w14:paraId="6889CFC1" w14:textId="77777777" w:rsidTr="004712EE">
        <w:trPr>
          <w:cantSplit/>
          <w:jc w:val="center"/>
        </w:trPr>
        <w:tc>
          <w:tcPr>
            <w:tcW w:w="1555" w:type="dxa"/>
            <w:vAlign w:val="center"/>
            <w:tcBorders>
              <w:top w:val="single" w:sz="4" w:color="7F7F7F" w:space="0"/>
              <w:left w:val="single" w:sz="4" w:color="7F7F7F" w:space="0"/>
              <w:bottom w:val="single" w:sz="4" w:color="7F7F7F" w:space="0"/>
              <w:right w:val="single" w:sz="4" w:color="7F7F7F" w:space="0"/>
            </w:tcBorders>
          </w:tcPr>
          <w:p w14:paraId="56F403DA" w14:textId="77777777" w:rsidR="00B577D0" w:rsidRDefault="00B577D0">
            <w:pPr>
              <w:spacing w:after="0"/>
              <w:jc w:val="left"/>
              <w:rPr>
                <w:rFonts w:ascii="Arial" w:hAnsi="Arial" w:eastAsia="Arial" w:cs="Arial"/>
                <w:sz w:val="20"/>
                <w:szCs w:val="20"/>
              </w:rPr>
            </w:pPr>
            <w:hyperlink r:id="rId11">
              <w:r>
                <w:rPr>
                  <w:sz w:val="20"/>
                  <w:u w:val="single"/>
                  <w:rFonts w:ascii="Arial" w:hAnsi="Arial" w:eastAsia="Arial" w:cs="Arial"/>
                  <w:szCs w:val="20"/>
                </w:rPr>
                <w:t>Part 3a</w:t>
              </w:r>
            </w:hyperlink>
          </w:p>
        </w:tc>
        <w:tc>
          <w:tcPr>
            <w:tcW w:w="7471" w:type="dxa"/>
            <w:vAlign w:val="center"/>
            <w:tcBorders>
              <w:top w:val="single" w:sz="4" w:color="7F7F7F" w:space="0"/>
              <w:left w:val="single" w:sz="4" w:color="7F7F7F" w:space="0"/>
              <w:bottom w:val="single" w:sz="4" w:color="7F7F7F" w:space="0"/>
              <w:right w:val="single" w:sz="4" w:color="7F7F7F" w:space="0"/>
            </w:tcBorders>
          </w:tcPr>
          <w:p w14:paraId="6A44B2BC" w14:textId="77777777" w:rsidR="00B577D0" w:rsidRDefault="00000000">
            <w:pPr>
              <w:spacing w:after="0"/>
              <w:jc w:val="left"/>
              <w:rPr>
                <w:rFonts w:ascii="Arial" w:hAnsi="Arial" w:eastAsia="Arial" w:cs="Arial"/>
                <w:sz w:val="20"/>
                <w:szCs w:val="20"/>
              </w:rPr>
            </w:pPr>
            <w:r>
              <w:rPr>
                <w:b/>
                <w:sz w:val="20"/>
                <w:rFonts w:ascii="Arial" w:hAnsi="Arial" w:eastAsia="Arial" w:cs="Arial"/>
                <w:szCs w:val="20"/>
              </w:rPr>
              <w:t>Horizon and Unknown Discipline</w:t>
            </w:r>
            <w:r>
              <w:rPr>
                <w:sz w:val="20"/>
                <w:rFonts w:ascii="Arial" w:hAnsi="Arial" w:eastAsia="Arial" w:cs="Arial"/>
                <w:szCs w:val="20"/>
              </w:rPr>
              <w:br/>
              <w:t>The limits of formal systems and the discipline of working with what remains unknown.</w:t>
            </w:r>
          </w:p>
        </w:tc>
      </w:tr>
      <w:tr w:rsidR="00B577D0" w14:paraId="331E39DA" w14:textId="77777777" w:rsidTr="004712EE">
        <w:trPr>
          <w:cantSplit/>
          <w:jc w:val="center"/>
        </w:trPr>
        <w:tc>
          <w:tcPr>
            <w:tcW w:w="1555" w:type="dxa"/>
            <w:vAlign w:val="center"/>
            <w:tcBorders>
              <w:top w:val="single" w:sz="4" w:color="7F7F7F" w:space="0"/>
              <w:left w:val="single" w:sz="4" w:color="7F7F7F" w:space="0"/>
              <w:bottom w:val="single" w:sz="4" w:color="7F7F7F" w:space="0"/>
              <w:right w:val="single" w:sz="4" w:color="7F7F7F" w:space="0"/>
            </w:tcBorders>
          </w:tcPr>
          <w:p w14:paraId="09F409D1" w14:textId="77777777" w:rsidR="00B577D0" w:rsidRDefault="00B577D0">
            <w:pPr>
              <w:spacing w:after="0"/>
              <w:jc w:val="left"/>
              <w:rPr>
                <w:rFonts w:ascii="Arial" w:hAnsi="Arial" w:eastAsia="Arial" w:cs="Arial"/>
                <w:sz w:val="20"/>
                <w:szCs w:val="20"/>
              </w:rPr>
            </w:pPr>
            <w:hyperlink r:id="rId12">
              <w:r>
                <w:rPr>
                  <w:sz w:val="20"/>
                  <w:u w:val="single"/>
                  <w:rFonts w:ascii="Arial" w:hAnsi="Arial" w:eastAsia="Arial" w:cs="Arial"/>
                  <w:szCs w:val="20"/>
                </w:rPr>
                <w:t>Part 3b</w:t>
              </w:r>
            </w:hyperlink>
          </w:p>
        </w:tc>
        <w:tc>
          <w:tcPr>
            <w:tcW w:w="7471" w:type="dxa"/>
            <w:vAlign w:val="center"/>
            <w:tcBorders>
              <w:top w:val="single" w:sz="4" w:color="7F7F7F" w:space="0"/>
              <w:left w:val="single" w:sz="4" w:color="7F7F7F" w:space="0"/>
              <w:bottom w:val="single" w:sz="4" w:color="7F7F7F" w:space="0"/>
              <w:right w:val="single" w:sz="4" w:color="7F7F7F" w:space="0"/>
            </w:tcBorders>
          </w:tcPr>
          <w:p w14:paraId="72293D36" w14:textId="77777777" w:rsidR="00B577D0" w:rsidRDefault="00000000">
            <w:pPr>
              <w:spacing w:after="0"/>
              <w:jc w:val="left"/>
              <w:rPr>
                <w:rFonts w:ascii="Arial" w:hAnsi="Arial" w:eastAsia="Arial" w:cs="Arial"/>
                <w:sz w:val="20"/>
                <w:szCs w:val="20"/>
              </w:rPr>
            </w:pPr>
            <w:r>
              <w:rPr>
                <w:b/>
                <w:sz w:val="20"/>
                <w:rFonts w:ascii="Arial" w:hAnsi="Arial" w:eastAsia="Arial" w:cs="Arial"/>
                <w:szCs w:val="20"/>
              </w:rPr>
              <w:t>Power, Responsibility, and Trust</w:t>
            </w:r>
            <w:r>
              <w:rPr>
                <w:sz w:val="20"/>
                <w:rFonts w:ascii="Arial" w:hAnsi="Arial" w:eastAsia="Arial" w:cs="Arial"/>
                <w:szCs w:val="20"/>
              </w:rPr>
              <w:br/>
              <w:t>The relations through which effects, responsibility and reliance can be examined.</w:t>
            </w:r>
          </w:p>
        </w:tc>
      </w:tr>
      <w:tr w:rsidR="00B577D0" w14:paraId="675240A0" w14:textId="77777777" w:rsidTr="004712EE">
        <w:trPr>
          <w:cantSplit/>
          <w:jc w:val="center"/>
        </w:trPr>
        <w:tc>
          <w:tcPr>
            <w:tcW w:w="1555" w:type="dxa"/>
            <w:vAlign w:val="center"/>
            <w:tcBorders>
              <w:top w:val="single" w:sz="4" w:color="7F7F7F" w:space="0"/>
              <w:left w:val="single" w:sz="4" w:color="7F7F7F" w:space="0"/>
              <w:bottom w:val="single" w:sz="4" w:color="7F7F7F" w:space="0"/>
              <w:right w:val="single" w:sz="4" w:color="7F7F7F" w:space="0"/>
            </w:tcBorders>
          </w:tcPr>
          <w:p w14:paraId="299E3624" w14:textId="77777777" w:rsidR="00B577D0" w:rsidRDefault="00B577D0">
            <w:pPr>
              <w:spacing w:after="0"/>
              <w:jc w:val="left"/>
              <w:rPr>
                <w:rFonts w:ascii="Arial" w:hAnsi="Arial" w:eastAsia="Arial" w:cs="Arial"/>
                <w:sz w:val="20"/>
                <w:szCs w:val="20"/>
              </w:rPr>
            </w:pPr>
            <w:hyperlink r:id="rId13">
              <w:r>
                <w:rPr>
                  <w:sz w:val="20"/>
                  <w:u w:val="single"/>
                  <w:rFonts w:ascii="Arial" w:hAnsi="Arial" w:eastAsia="Arial" w:cs="Arial"/>
                  <w:szCs w:val="20"/>
                </w:rPr>
                <w:t>Part 3c</w:t>
              </w:r>
            </w:hyperlink>
          </w:p>
        </w:tc>
        <w:tc>
          <w:tcPr>
            <w:tcW w:w="7471" w:type="dxa"/>
            <w:vAlign w:val="center"/>
            <w:tcBorders>
              <w:top w:val="single" w:sz="4" w:color="7F7F7F" w:space="0"/>
              <w:left w:val="single" w:sz="4" w:color="7F7F7F" w:space="0"/>
              <w:bottom w:val="single" w:sz="4" w:color="7F7F7F" w:space="0"/>
              <w:right w:val="single" w:sz="4" w:color="7F7F7F" w:space="0"/>
            </w:tcBorders>
          </w:tcPr>
          <w:p w14:paraId="358FC3AB" w14:textId="77777777" w:rsidR="00B577D0" w:rsidRDefault="00000000">
            <w:pPr>
              <w:spacing w:after="0"/>
              <w:jc w:val="left"/>
              <w:rPr>
                <w:rFonts w:ascii="Arial" w:hAnsi="Arial" w:eastAsia="Arial" w:cs="Arial"/>
                <w:sz w:val="20"/>
                <w:szCs w:val="20"/>
              </w:rPr>
            </w:pPr>
            <w:r>
              <w:rPr>
                <w:b/>
                <w:sz w:val="20"/>
                <w:rFonts w:ascii="Arial" w:hAnsi="Arial" w:eastAsia="Arial" w:cs="Arial"/>
                <w:szCs w:val="20"/>
              </w:rPr>
              <w:t>The Epistemic Method</w:t>
            </w:r>
            <w:r>
              <w:rPr>
                <w:sz w:val="20"/>
                <w:rFonts w:ascii="Arial" w:hAnsi="Arial" w:eastAsia="Arial" w:cs="Arial"/>
                <w:szCs w:val="20"/>
              </w:rPr>
              <w:br/>
              <w:t>Formalisation, its governance and the integrated method.</w:t>
            </w:r>
          </w:p>
        </w:tc>
      </w:tr>
      <w:tr w:rsidR="004712EE" w14:paraId="100F5025" w14:textId="77777777" w:rsidTr="004712EE">
        <w:trPr>
          <w:cantSplit/>
          <w:jc w:val="center"/>
        </w:trPr>
        <w:tc>
          <w:tcPr>
            <w:tcW w:w="1555" w:type="dxa"/>
            <w:vAlign w:val="center"/>
            <w:tcBorders>
              <w:top w:val="single" w:sz="4" w:color="7F7F7F" w:space="0"/>
              <w:left w:val="single" w:sz="4" w:color="7F7F7F" w:space="0"/>
              <w:bottom w:val="single" w:sz="4" w:color="7F7F7F" w:space="0"/>
              <w:right w:val="single" w:sz="4" w:color="7F7F7F" w:space="0"/>
            </w:tcBorders>
          </w:tcPr>
          <w:p w14:paraId="57BEBCA7" w14:textId="77777777" w:rsidR="004712EE" w:rsidRDefault="004712EE">
            <w:pPr>
              <w:spacing w:after="0"/>
              <w:jc w:val="left"/>
              <w:rPr>
                <w:rFonts w:ascii="Arial" w:hAnsi="Arial" w:eastAsia="Arial" w:cs="Arial"/>
                <w:sz w:val="20"/>
                <w:szCs w:val="20"/>
              </w:rPr>
            </w:pPr>
          </w:p>
        </w:tc>
        <w:tc>
          <w:tcPr>
            <w:tcW w:w="7471" w:type="dxa"/>
            <w:vAlign w:val="center"/>
            <w:tcBorders>
              <w:top w:val="single" w:sz="4" w:color="7F7F7F" w:space="0"/>
              <w:left w:val="single" w:sz="4" w:color="7F7F7F" w:space="0"/>
              <w:bottom w:val="single" w:sz="4" w:color="7F7F7F" w:space="0"/>
              <w:right w:val="single" w:sz="4" w:color="7F7F7F" w:space="0"/>
            </w:tcBorders>
          </w:tcPr>
          <w:p w14:paraId="4B582850" w14:textId="77777777" w:rsidR="004712EE" w:rsidRDefault="004712EE">
            <w:pPr>
              <w:spacing w:after="0"/>
              <w:jc w:val="left"/>
              <w:rPr>
                <w:b/>
                <w:sz w:val="20"/>
                <w:rFonts w:ascii="Arial" w:hAnsi="Arial" w:eastAsia="Arial" w:cs="Arial"/>
                <w:szCs w:val="20"/>
              </w:rPr>
            </w:pPr>
          </w:p>
        </w:tc>
      </w:tr>
    </w:tbl>
    <w:p>
      <w:pPr>
        <w:spacing w:before="0" w:after="0" w:line="240" w:lineRule="auto"/>
        <w:rPr>
          <w:rFonts w:ascii="Arial" w:hAnsi="Arial" w:eastAsia="Arial" w:cs="Arial"/>
          <w:sz w:val="22"/>
          <w:szCs w:val="22"/>
        </w:rPr>
      </w:pPr>
    </w:p>
    <w:p w14:paraId="2B49D62B" w14:textId="56250923" w:rsidR="004712EE" w:rsidRDefault="004712EE" w:rsidP="004712EE">
      <w:pPr>
        <w:pStyle w:val="FlattenedHeading1"/>
        <w:numPr>
          <w:ilvl w:val="0"/>
          <w:numId w:val="0"/>
        </w:numPr>
        <w:outlineLvl w:val="9"/>
        <w:rPr>
          <w:rFonts w:ascii="Arial" w:hAnsi="Arial" w:eastAsia="Arial" w:cs="Arial"/>
          <w:sz w:val="30"/>
          <w:szCs w:val="30"/>
          <w:b w:val="1"/>
          <w:bCs w:val="1"/>
        </w:rPr>
      </w:pPr>
      <w:r>
        <w:t>The Epistemic Toolkit (pending human verification)</w:t>
        <w:rPr>
          <w:rFonts w:ascii="Arial" w:hAnsi="Arial" w:eastAsia="Arial" w:cs="Arial"/>
          <w:sz w:val="30"/>
          <w:szCs w:val="30"/>
          <w:b w:val="1"/>
          <w:bCs w:val="1"/>
        </w:rPr>
      </w:r>
    </w:p>
    <w:p w14:paraId="4AA9FE98" w14:textId="6837D21A" w:rsidR="004712EE" w:rsidRDefault="004712EE" w:rsidP="004712EE">
      <w:pPr>
        <w:jc w:val="left"/>
        <w:rPr>
          <w:rFonts w:ascii="Arial" w:hAnsi="Arial" w:eastAsia="Arial" w:cs="Arial"/>
          <w:sz w:val="22"/>
          <w:szCs w:val="22"/>
        </w:rPr>
      </w:pPr>
      <w:r>
        <w:t xml:space="preserve">The Epistemic Toolkit (TET)  is a first draft mathematical treatment of TEM. TET remains suspended because the draft has not yet been human verified and I don’t have the level of expertise necessary to validate the structure before we move onto Volume 2 that will need the underlying mathematical machinery.  Its integration is planned for Issue 1.1, subject to human verification. </w:t>
        <w:rPr>
          <w:rFonts w:ascii="Arial" w:hAnsi="Arial" w:eastAsia="Arial" w:cs="Arial"/>
          <w:sz w:val="22"/>
          <w:szCs w:val="22"/>
        </w:rPr>
      </w:r>
    </w:p>
    <w:p w14:paraId="0FE15F41" w14:textId="77777777" w:rsidR="004712EE" w:rsidRDefault="004712EE" w:rsidP="004712EE">
      <w:pPr>
        <w:pStyle w:val="FlattenedHeading1"/>
        <w:numPr>
          <w:ilvl w:val="0"/>
          <w:numId w:val="0"/>
        </w:numPr>
        <w:outlineLvl w:val="9"/>
        <w:rPr>
          <w:rFonts w:ascii="Arial" w:hAnsi="Arial" w:eastAsia="Arial" w:cs="Arial"/>
          <w:sz w:val="30"/>
          <w:szCs w:val="30"/>
          <w:b w:val="1"/>
          <w:bCs w:val="1"/>
        </w:rPr>
      </w:pPr>
      <w:r>
        <w:lastRenderedPageBreak/>
        <w:t>Essays</w:t>
        <w:rPr>
          <w:rFonts w:ascii="Arial" w:hAnsi="Arial" w:eastAsia="Arial" w:cs="Arial"/>
          <w:sz w:val="30"/>
          <w:szCs w:val="30"/>
          <w:b w:val="1"/>
          <w:bCs w:val="1"/>
        </w:rPr>
      </w:r>
    </w:p>
    <w:p w14:paraId="540FFEE1" w14:textId="56EABAB1" w:rsidR="004712EE" w:rsidRDefault="004712EE" w:rsidP="004712EE">
      <w:pPr>
        <w:jc w:val="left"/>
        <w:rPr>
          <w:rFonts w:ascii="Arial" w:hAnsi="Arial" w:eastAsia="Arial" w:cs="Arial"/>
          <w:sz w:val="22"/>
          <w:szCs w:val="22"/>
        </w:rPr>
      </w:pPr>
      <w:r>
        <w:t xml:space="preserve">Essays are opinion pieces derived from TEM, intended for publication at </w:t>
        <w:rPr>
          <w:rFonts w:ascii="Arial" w:hAnsi="Arial" w:eastAsia="Arial" w:cs="Arial"/>
          <w:sz w:val="22"/>
          <w:szCs w:val="22"/>
        </w:rPr>
      </w:r>
      <w:r w:rsidRPr="004712EE">
        <w:t>https://goto-go.com/#/theory/essays</w:t>
        <w:rPr>
          <w:rFonts w:ascii="Arial" w:hAnsi="Arial" w:eastAsia="Arial" w:cs="Arial"/>
          <w:sz w:val="22"/>
          <w:szCs w:val="22"/>
        </w:rPr>
      </w:r>
      <w:r>
        <w:t xml:space="preserve">. The essays explore interpretations and implications of </w:t>
        <w:rPr>
          <w:rFonts w:ascii="Arial" w:hAnsi="Arial" w:eastAsia="Arial" w:cs="Arial"/>
          <w:sz w:val="22"/>
          <w:szCs w:val="22"/>
        </w:rPr>
      </w:r>
      <w:r w:rsidR="008B2CEA">
        <w:t>a world viewed via The Epistemic M</w:t>
        <w:rPr>
          <w:rFonts w:ascii="Arial" w:hAnsi="Arial" w:eastAsia="Arial" w:cs="Arial"/>
          <w:sz w:val="22"/>
          <w:szCs w:val="22"/>
        </w:rPr>
      </w:r>
      <w:r>
        <w:t>ethod</w:t>
        <w:rPr>
          <w:rFonts w:ascii="Arial" w:hAnsi="Arial" w:eastAsia="Arial" w:cs="Arial"/>
          <w:sz w:val="22"/>
          <w:szCs w:val="22"/>
        </w:rPr>
      </w:r>
      <w:r w:rsidR="008B2CEA">
        <w:t xml:space="preserve"> and its authors perspective in it.</w:t>
        <w:rPr>
          <w:rFonts w:ascii="Arial" w:hAnsi="Arial" w:eastAsia="Arial" w:cs="Arial"/>
          <w:sz w:val="22"/>
          <w:szCs w:val="22"/>
        </w:rPr>
      </w:r>
      <w:r>
        <w:t xml:space="preserve"> </w:t>
        <w:rPr>
          <w:rFonts w:ascii="Arial" w:hAnsi="Arial" w:eastAsia="Arial" w:cs="Arial"/>
          <w:sz w:val="22"/>
          <w:szCs w:val="22"/>
        </w:rPr>
      </w:r>
      <w:r w:rsidR="008B2CEA">
        <w:t xml:space="preserve"> </w:t>
        <w:rPr>
          <w:rFonts w:ascii="Arial" w:hAnsi="Arial" w:eastAsia="Arial" w:cs="Arial"/>
          <w:sz w:val="22"/>
          <w:szCs w:val="22"/>
        </w:rPr>
      </w:r>
      <w:r>
        <w:t xml:space="preserve">As such these are opinion derived of experience and interpreted through a TEM aligned thought process.  The ideas and metaphors within will extend past what can be fully closed to try and open a path to deeper enquiry. </w:t>
        <w:rPr>
          <w:rFonts w:ascii="Arial" w:hAnsi="Arial" w:eastAsia="Arial" w:cs="Arial"/>
          <w:sz w:val="22"/>
          <w:szCs w:val="22"/>
        </w:rPr>
      </w:r>
      <w:r w:rsidR="008B2CEA">
        <w:t xml:space="preserve">These are shorter, deliberately thought provoking reads.  </w:t>
        <w:rPr>
          <w:rFonts w:ascii="Arial" w:hAnsi="Arial" w:eastAsia="Arial" w:cs="Arial"/>
          <w:sz w:val="22"/>
          <w:szCs w:val="22"/>
        </w:rPr>
      </w:r>
    </w:p>
    <w:p w14:paraId="534B6EAA" w14:textId="77777777" w:rsidR="004712EE" w:rsidRDefault="004712EE" w:rsidP="004712EE">
      <w:pPr>
        <w:jc w:val="left"/>
        <w:rPr>
          <w:rFonts w:ascii="Arial" w:hAnsi="Arial" w:eastAsia="Arial" w:cs="Arial"/>
          <w:sz w:val="22"/>
          <w:szCs w:val="22"/>
        </w:rPr>
      </w:pPr>
    </w:p>
    <w:p w14:paraId="40201EC9" w14:textId="77777777" w:rsidR="004712EE" w:rsidRDefault="004712EE">
      <w:pPr>
        <w:pStyle w:val="FlattenedHeading1"/>
        <w:numPr>
          <w:ilvl w:val="0"/>
          <w:numId w:val="0"/>
        </w:numPr>
        <w:outlineLvl w:val="9"/>
        <w:rPr>
          <w:rFonts w:ascii="Arial" w:hAnsi="Arial" w:eastAsia="Arial" w:cs="Arial"/>
          <w:sz w:val="30"/>
          <w:szCs w:val="30"/>
          <w:b w:val="1"/>
          <w:bCs w:val="1"/>
        </w:rPr>
      </w:pPr>
    </w:p>
    <w:p w14:paraId="59861B3B" w14:textId="6C813A4C" w:rsidR="00C639E6" w:rsidRDefault="00000000">
      <w:pPr>
        <w:pStyle w:val="FlattenedHeading1"/>
        <w:numPr>
          <w:ilvl w:val="0"/>
          <w:numId w:val="0"/>
        </w:numPr>
        <w:outlineLvl w:val="9"/>
        <w:rPr>
          <w:rFonts w:ascii="Arial" w:hAnsi="Arial" w:eastAsia="Arial" w:cs="Arial"/>
          <w:sz w:val="30"/>
          <w:szCs w:val="30"/>
          <w:b w:val="1"/>
          <w:bCs w:val="1"/>
        </w:rPr>
      </w:pPr>
      <w:r>
        <w:t>Boo</w:t>
        <w:rPr>
          <w:rFonts w:ascii="Arial" w:hAnsi="Arial" w:eastAsia="Arial" w:cs="Arial"/>
          <w:sz w:val="30"/>
          <w:szCs w:val="30"/>
          <w:b w:val="1"/>
          <w:bCs w:val="1"/>
        </w:rPr>
      </w:r>
      <w:r w:rsidR="008B2CEA">
        <w:t>k:  General Organisation Theory: An introduction to The Epistemic Method</w:t>
        <w:rPr>
          <w:rFonts w:ascii="Arial" w:hAnsi="Arial" w:eastAsia="Arial" w:cs="Arial"/>
          <w:sz w:val="30"/>
          <w:szCs w:val="30"/>
          <w:b w:val="1"/>
          <w:bCs w:val="1"/>
        </w:rPr>
      </w:r>
    </w:p>
    <w:p w14:paraId="08CF8FDD" w14:textId="04DFC61F" w:rsidR="00C639E6" w:rsidRDefault="00000000">
      <w:r>
        <w:rPr>
          <w:b/>
          <w:rFonts w:ascii="Arial" w:hAnsi="Arial" w:eastAsia="Arial" w:cs="Arial"/>
          <w:sz w:val="22"/>
          <w:szCs w:val="22"/>
        </w:rPr>
        <w:t xml:space="preserve">Status: </w:t>
      </w:r>
      <w:r>
        <w:t>pre-release</w:t>
        <w:rPr>
          <w:rFonts w:ascii="Arial" w:hAnsi="Arial" w:eastAsia="Arial" w:cs="Arial"/>
          <w:sz w:val="22"/>
          <w:szCs w:val="22"/>
        </w:rPr>
      </w:r>
      <w:r w:rsidR="008B2CEA">
        <w:t xml:space="preserve"> initial draft</w:t>
        <w:rPr>
          <w:rFonts w:ascii="Arial" w:hAnsi="Arial" w:eastAsia="Arial" w:cs="Arial"/>
          <w:sz w:val="22"/>
          <w:szCs w:val="22"/>
        </w:rPr>
      </w:r>
      <w:pPr>
        <w:rPr>
          <w:rFonts w:ascii="Arial" w:hAnsi="Arial" w:eastAsia="Arial" w:cs="Arial"/>
          <w:sz w:val="22"/>
          <w:szCs w:val="22"/>
        </w:rPr>
      </w:pPr>
    </w:p>
    <w:p w14:paraId="1DCEB434" w14:textId="77777777" w:rsidR="00C639E6" w:rsidRDefault="00000000">
      <w:r>
        <w:rPr>
          <w:i/>
          <w:rFonts w:ascii="Arial" w:hAnsi="Arial" w:eastAsia="Arial" w:cs="Arial"/>
          <w:sz w:val="22"/>
          <w:szCs w:val="22"/>
        </w:rPr>
        <w:t>General Organisation Theory: An introduction to The Epistemic Method</w:t>
      </w:r>
      <w:r>
        <w:t xml:space="preserve"> is available as </w:t>
        <w:rPr>
          <w:rFonts w:ascii="Arial" w:hAnsi="Arial" w:eastAsia="Arial" w:cs="Arial"/>
          <w:sz w:val="22"/>
          <w:szCs w:val="22"/>
        </w:rPr>
      </w:r>
      <w:hyperlink r:id="rId14">
        <w:r w:rsidR="00C639E6">
          <w:rPr>
            <w:u w:val="single"/>
            <w:rFonts w:ascii="Arial" w:hAnsi="Arial" w:eastAsia="Arial" w:cs="Arial"/>
            <w:sz w:val="22"/>
            <w:szCs w:val="22"/>
          </w:rPr>
          <w:t>GOT Book - Test Read 1</w:t>
        </w:r>
      </w:hyperlink>
      <w:r>
        <w:t>. It provides a continuous introduction to the concepts and connections developed across the papers. Readers may use it as an optional test read; the preludes remain the main entry route, and the papers govern the technical definitions and arguments.</w:t>
        <w:rPr>
          <w:rFonts w:ascii="Arial" w:hAnsi="Arial" w:eastAsia="Arial" w:cs="Arial"/>
          <w:sz w:val="22"/>
          <w:szCs w:val="22"/>
        </w:rPr>
      </w:r>
      <w:pPr>
        <w:rPr>
          <w:rFonts w:ascii="Arial" w:hAnsi="Arial" w:eastAsia="Arial" w:cs="Arial"/>
          <w:sz w:val="22"/>
          <w:szCs w:val="22"/>
        </w:rPr>
      </w:pPr>
    </w:p>
    <w:p w14:paraId="14A6B037" w14:textId="77777777" w:rsidR="009840C7" w:rsidRDefault="009840C7" w:rsidP="009840C7">
      <w:pPr>
        <w:pStyle w:val="FlattenedHeading1"/>
        <w:pageBreakBefore/>
        <w:numPr>
          <w:ilvl w:val="0"/>
          <w:numId w:val="0"/>
        </w:numPr>
        <w:spacing w:before="0"/>
        <w:outlineLvl w:val="9"/>
        <w:rPr>
          <w:rFonts w:ascii="Arial" w:hAnsi="Arial" w:eastAsia="Arial" w:cs="Arial"/>
          <w:sz w:val="30"/>
          <w:szCs w:val="30"/>
          <w:b w:val="1"/>
          <w:bCs w:val="1"/>
        </w:rPr>
      </w:pPr>
      <w:r>
        <w:lastRenderedPageBreak/>
        <w:t>Master support</w:t>
        <w:rPr>
          <w:rFonts w:ascii="Arial" w:hAnsi="Arial" w:eastAsia="Arial" w:cs="Arial"/>
          <w:sz w:val="30"/>
          <w:szCs w:val="30"/>
          <w:b w:val="1"/>
          <w:bCs w:val="1"/>
        </w:rPr>
      </w:r>
    </w:p>
    <w:p w14:paraId="59C2E1D4" w14:textId="77777777" w:rsidR="009840C7" w:rsidRDefault="009840C7" w:rsidP="009840C7">
      <w:pPr>
        <w:jc w:val="left"/>
        <w:rPr>
          <w:rFonts w:ascii="Arial" w:hAnsi="Arial" w:eastAsia="Arial" w:cs="Arial"/>
          <w:sz w:val="22"/>
          <w:szCs w:val="22"/>
        </w:rPr>
      </w:pPr>
      <w:r>
        <w:t>The five master support documents bring together the series-wide reference material. Use them when you need to recover a term, trace a connection between Parts or find the source of a claim. These have been designed specifically to help large context LLM’s hold a conceptual working of TEM (caution advised, these documents as a context layer for an LLM is very useful but far from infallible, the better you understand the underlying work, the more useful they become as a tool for assessing outwards.  These are powerful in the right hands, not a plugin oracle on the method itself.)</w:t>
        <w:rPr>
          <w:rFonts w:ascii="Arial" w:hAnsi="Arial" w:eastAsia="Arial" w:cs="Arial"/>
          <w:sz w:val="22"/>
          <w:szCs w:val="22"/>
        </w:rPr>
      </w:r>
    </w:p>
    <w:tbl>
      <w:tblPr>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75" w:type="dxa"/>
          <w:left w:w="95" w:type="dxa"/>
          <w:bottom w:w="75" w:type="dxa"/>
          <w:right w:w="95" w:type="dxa"/>
        </w:tblCellMar>
        <w:tblLook w:val="04A0" w:firstRow="1" w:lastRow="0" w:firstColumn="1" w:lastColumn="0" w:noHBand="0" w:noVBand="1"/>
      </w:tblPr>
      <w:tblGrid>
        <w:gridCol w:w="4637"/>
        <w:gridCol w:w="4389"/>
      </w:tblGrid>
      <w:tr w:rsidR="009840C7" w14:paraId="370B9BE6" w14:textId="77777777" w:rsidTr="00FF5481">
        <w:trPr>
          <w:cantSplit/>
          <w:tblHeader w:val="1"/>
          <w:jc w:val="center"/>
        </w:trPr>
        <w:tc>
          <w:tcPr>
            <w:tcW w:w="4637" w:type="dxa"/>
            <w:shd w:val="clear" w:color="auto" w:fill="EDEDED"/>
            <w:vAlign w:val="center"/>
            <w:tcBorders>
              <w:top w:val="single" w:sz="4" w:color="7F7F7F" w:space="0"/>
              <w:left w:val="single" w:sz="4" w:color="7F7F7F" w:space="0"/>
              <w:bottom w:val="single" w:sz="4" w:color="7F7F7F" w:space="0"/>
              <w:right w:val="single" w:sz="4" w:color="7F7F7F" w:space="0"/>
            </w:tcBorders>
          </w:tcPr>
          <w:p w14:paraId="245E7688" w14:textId="77777777" w:rsidR="009840C7" w:rsidRDefault="009840C7" w:rsidP="00FF5481">
            <w:pPr>
              <w:keepNext/>
              <w:spacing w:after="0"/>
              <w:jc w:val="left"/>
              <w:rPr>
                <w:rFonts w:ascii="Arial" w:hAnsi="Arial" w:eastAsia="Arial" w:cs="Arial"/>
                <w:sz w:val="20"/>
                <w:szCs w:val="20"/>
              </w:rPr>
            </w:pPr>
            <w:r>
              <w:rPr>
                <w:b w:val="1"/>
                <w:sz w:val="20"/>
                <w:rFonts w:ascii="Arial" w:hAnsi="Arial" w:eastAsia="Arial" w:cs="Arial"/>
                <w:szCs w:val="20"/>
                <w:bCs w:val="1"/>
              </w:rPr>
              <w:t>Master document</w:t>
            </w:r>
          </w:p>
        </w:tc>
        <w:tc>
          <w:tcPr>
            <w:tcW w:w="4389" w:type="dxa"/>
            <w:shd w:val="clear" w:color="auto" w:fill="EDEDED"/>
            <w:vAlign w:val="center"/>
            <w:tcBorders>
              <w:top w:val="single" w:sz="4" w:color="7F7F7F" w:space="0"/>
              <w:left w:val="single" w:sz="4" w:color="7F7F7F" w:space="0"/>
              <w:bottom w:val="single" w:sz="4" w:color="7F7F7F" w:space="0"/>
              <w:right w:val="single" w:sz="4" w:color="7F7F7F" w:space="0"/>
            </w:tcBorders>
          </w:tcPr>
          <w:p w14:paraId="56F60430" w14:textId="77777777" w:rsidR="009840C7" w:rsidRDefault="009840C7" w:rsidP="00FF5481">
            <w:pPr>
              <w:keepNext/>
              <w:spacing w:after="0"/>
              <w:jc w:val="left"/>
              <w:rPr>
                <w:rFonts w:ascii="Arial" w:hAnsi="Arial" w:eastAsia="Arial" w:cs="Arial"/>
                <w:sz w:val="20"/>
                <w:szCs w:val="20"/>
              </w:rPr>
            </w:pPr>
            <w:r>
              <w:rPr>
                <w:b w:val="1"/>
                <w:sz w:val="20"/>
                <w:rFonts w:ascii="Arial" w:hAnsi="Arial" w:eastAsia="Arial" w:cs="Arial"/>
                <w:szCs w:val="20"/>
                <w:bCs w:val="1"/>
              </w:rPr>
              <w:t>Use it to</w:t>
            </w:r>
          </w:p>
        </w:tc>
      </w:tr>
      <w:tr w:rsidR="009840C7" w14:paraId="0C3ADD72" w14:textId="77777777" w:rsidTr="00FF5481">
        <w:trPr>
          <w:cantSplit/>
          <w:jc w:val="center"/>
        </w:trPr>
        <w:tc>
          <w:tcPr>
            <w:tcW w:w="4637" w:type="dxa"/>
            <w:vAlign w:val="center"/>
            <w:tcBorders>
              <w:top w:val="single" w:sz="4" w:color="7F7F7F" w:space="0"/>
              <w:left w:val="single" w:sz="4" w:color="7F7F7F" w:space="0"/>
              <w:bottom w:val="single" w:sz="4" w:color="7F7F7F" w:space="0"/>
              <w:right w:val="single" w:sz="4" w:color="7F7F7F" w:space="0"/>
            </w:tcBorders>
          </w:tcPr>
          <w:p w14:paraId="5368A710" w14:textId="77777777" w:rsidR="009840C7" w:rsidRDefault="009840C7" w:rsidP="00FF5481">
            <w:pPr>
              <w:spacing w:after="0"/>
              <w:jc w:val="left"/>
              <w:rPr>
                <w:rFonts w:ascii="Arial" w:hAnsi="Arial" w:eastAsia="Arial" w:cs="Arial"/>
                <w:sz w:val="20"/>
                <w:szCs w:val="20"/>
              </w:rPr>
            </w:pPr>
            <w:r>
              <w:rPr>
                <w:b/>
                <w:sz w:val="20"/>
                <w:rFonts w:ascii="Arial" w:hAnsi="Arial" w:eastAsia="Arial" w:cs="Arial"/>
                <w:szCs w:val="20"/>
              </w:rPr>
              <w:t>MSD00</w:t>
            </w:r>
            <w:r>
              <w:rPr>
                <w:b/>
                <w:sz w:val="20"/>
                <w:rFonts w:ascii="Arial" w:hAnsi="Arial" w:eastAsia="Arial" w:cs="Arial"/>
                <w:szCs w:val="20"/>
              </w:rPr>
              <w:br/>
            </w:r>
            <w:hyperlink r:id="rId15">
              <w:r>
                <w:rPr>
                  <w:sz w:val="20"/>
                  <w:u w:val="single"/>
                  <w:rFonts w:ascii="Arial" w:hAnsi="Arial" w:eastAsia="Arial" w:cs="Arial"/>
                  <w:szCs w:val="20"/>
                </w:rPr>
                <w:t>Master Support Index and Source Register</w:t>
              </w:r>
            </w:hyperlink>
          </w:p>
        </w:tc>
        <w:tc>
          <w:tcPr>
            <w:tcW w:w="4389" w:type="dxa"/>
            <w:vAlign w:val="center"/>
            <w:tcBorders>
              <w:top w:val="single" w:sz="4" w:color="7F7F7F" w:space="0"/>
              <w:left w:val="single" w:sz="4" w:color="7F7F7F" w:space="0"/>
              <w:bottom w:val="single" w:sz="4" w:color="7F7F7F" w:space="0"/>
              <w:right w:val="single" w:sz="4" w:color="7F7F7F" w:space="0"/>
            </w:tcBorders>
          </w:tcPr>
          <w:p w14:paraId="70DDE8DA" w14:textId="77777777" w:rsidR="009840C7" w:rsidRDefault="009840C7" w:rsidP="00FF5481">
            <w:pPr>
              <w:spacing w:after="0"/>
              <w:jc w:val="left"/>
              <w:rPr>
                <w:rFonts w:ascii="Arial" w:hAnsi="Arial" w:eastAsia="Arial" w:cs="Arial"/>
                <w:sz w:val="20"/>
                <w:szCs w:val="20"/>
              </w:rPr>
            </w:pPr>
            <w:r>
              <w:rPr>
                <w:sz w:val="20"/>
                <w:rFonts w:ascii="Arial" w:hAnsi="Arial" w:eastAsia="Arial" w:cs="Arial"/>
                <w:szCs w:val="20"/>
              </w:rPr>
              <w:t>Find the master documents and the current sources on which they are based.</w:t>
            </w:r>
          </w:p>
        </w:tc>
      </w:tr>
      <w:tr w:rsidR="009840C7" w14:paraId="1CC2B4F7" w14:textId="77777777" w:rsidTr="00FF5481">
        <w:trPr>
          <w:cantSplit/>
          <w:jc w:val="center"/>
        </w:trPr>
        <w:tc>
          <w:tcPr>
            <w:tcW w:w="4637" w:type="dxa"/>
            <w:vAlign w:val="center"/>
            <w:tcBorders>
              <w:top w:val="single" w:sz="4" w:color="7F7F7F" w:space="0"/>
              <w:left w:val="single" w:sz="4" w:color="7F7F7F" w:space="0"/>
              <w:bottom w:val="single" w:sz="4" w:color="7F7F7F" w:space="0"/>
              <w:right w:val="single" w:sz="4" w:color="7F7F7F" w:space="0"/>
            </w:tcBorders>
          </w:tcPr>
          <w:p w14:paraId="494E27C5" w14:textId="77777777" w:rsidR="009840C7" w:rsidRDefault="009840C7" w:rsidP="00FF5481">
            <w:pPr>
              <w:spacing w:after="0"/>
              <w:jc w:val="left"/>
              <w:rPr>
                <w:rFonts w:ascii="Arial" w:hAnsi="Arial" w:eastAsia="Arial" w:cs="Arial"/>
                <w:sz w:val="20"/>
                <w:szCs w:val="20"/>
              </w:rPr>
            </w:pPr>
            <w:r>
              <w:rPr>
                <w:b/>
                <w:sz w:val="20"/>
                <w:rFonts w:ascii="Arial" w:hAnsi="Arial" w:eastAsia="Arial" w:cs="Arial"/>
                <w:szCs w:val="20"/>
              </w:rPr>
              <w:t>MSD01</w:t>
            </w:r>
            <w:r>
              <w:rPr>
                <w:b/>
                <w:sz w:val="20"/>
                <w:rFonts w:ascii="Arial" w:hAnsi="Arial" w:eastAsia="Arial" w:cs="Arial"/>
                <w:szCs w:val="20"/>
              </w:rPr>
              <w:br/>
            </w:r>
            <w:hyperlink r:id="rId16">
              <w:r>
                <w:rPr>
                  <w:sz w:val="20"/>
                  <w:u w:val="single"/>
                  <w:rFonts w:ascii="Arial" w:hAnsi="Arial" w:eastAsia="Arial" w:cs="Arial"/>
                  <w:szCs w:val="20"/>
                </w:rPr>
                <w:t>Master Concept Compression Map</w:t>
              </w:r>
            </w:hyperlink>
          </w:p>
        </w:tc>
        <w:tc>
          <w:tcPr>
            <w:tcW w:w="4389" w:type="dxa"/>
            <w:vAlign w:val="center"/>
            <w:tcBorders>
              <w:top w:val="single" w:sz="4" w:color="7F7F7F" w:space="0"/>
              <w:left w:val="single" w:sz="4" w:color="7F7F7F" w:space="0"/>
              <w:bottom w:val="single" w:sz="4" w:color="7F7F7F" w:space="0"/>
              <w:right w:val="single" w:sz="4" w:color="7F7F7F" w:space="0"/>
            </w:tcBorders>
          </w:tcPr>
          <w:p w14:paraId="565883BC" w14:textId="77777777" w:rsidR="009840C7" w:rsidRDefault="009840C7" w:rsidP="00FF5481">
            <w:pPr>
              <w:spacing w:after="0"/>
              <w:jc w:val="left"/>
              <w:rPr>
                <w:rFonts w:ascii="Arial" w:hAnsi="Arial" w:eastAsia="Arial" w:cs="Arial"/>
                <w:sz w:val="20"/>
                <w:szCs w:val="20"/>
              </w:rPr>
            </w:pPr>
            <w:r>
              <w:rPr>
                <w:sz w:val="20"/>
                <w:rFonts w:ascii="Arial" w:hAnsi="Arial" w:eastAsia="Arial" w:cs="Arial"/>
                <w:szCs w:val="20"/>
              </w:rPr>
              <w:t>Recover the overall architecture and the connections between concepts.</w:t>
            </w:r>
          </w:p>
        </w:tc>
      </w:tr>
      <w:tr w:rsidR="009840C7" w14:paraId="316245D7" w14:textId="77777777" w:rsidTr="00FF5481">
        <w:trPr>
          <w:cantSplit/>
          <w:jc w:val="center"/>
        </w:trPr>
        <w:tc>
          <w:tcPr>
            <w:tcW w:w="4637" w:type="dxa"/>
            <w:vAlign w:val="center"/>
            <w:tcBorders>
              <w:top w:val="single" w:sz="4" w:color="7F7F7F" w:space="0"/>
              <w:left w:val="single" w:sz="4" w:color="7F7F7F" w:space="0"/>
              <w:bottom w:val="single" w:sz="4" w:color="7F7F7F" w:space="0"/>
              <w:right w:val="single" w:sz="4" w:color="7F7F7F" w:space="0"/>
            </w:tcBorders>
          </w:tcPr>
          <w:p w14:paraId="74A53042" w14:textId="77777777" w:rsidR="009840C7" w:rsidRDefault="009840C7" w:rsidP="00FF5481">
            <w:pPr>
              <w:spacing w:after="0"/>
              <w:jc w:val="left"/>
              <w:rPr>
                <w:rFonts w:ascii="Arial" w:hAnsi="Arial" w:eastAsia="Arial" w:cs="Arial"/>
                <w:sz w:val="20"/>
                <w:szCs w:val="20"/>
              </w:rPr>
            </w:pPr>
            <w:r>
              <w:rPr>
                <w:b/>
                <w:sz w:val="20"/>
                <w:rFonts w:ascii="Arial" w:hAnsi="Arial" w:eastAsia="Arial" w:cs="Arial"/>
                <w:szCs w:val="20"/>
              </w:rPr>
              <w:t>MSD02</w:t>
            </w:r>
            <w:r>
              <w:rPr>
                <w:b/>
                <w:sz w:val="20"/>
                <w:rFonts w:ascii="Arial" w:hAnsi="Arial" w:eastAsia="Arial" w:cs="Arial"/>
                <w:szCs w:val="20"/>
              </w:rPr>
              <w:br/>
            </w:r>
            <w:hyperlink r:id="rId17">
              <w:r>
                <w:rPr>
                  <w:sz w:val="20"/>
                  <w:u w:val="single"/>
                  <w:rFonts w:ascii="Arial" w:hAnsi="Arial" w:eastAsia="Arial" w:cs="Arial"/>
                  <w:szCs w:val="20"/>
                </w:rPr>
                <w:t>Master Glossary and Canonical Ownership Register</w:t>
              </w:r>
            </w:hyperlink>
          </w:p>
        </w:tc>
        <w:tc>
          <w:tcPr>
            <w:tcW w:w="4389" w:type="dxa"/>
            <w:vAlign w:val="center"/>
            <w:tcBorders>
              <w:top w:val="single" w:sz="4" w:color="7F7F7F" w:space="0"/>
              <w:left w:val="single" w:sz="4" w:color="7F7F7F" w:space="0"/>
              <w:bottom w:val="single" w:sz="4" w:color="7F7F7F" w:space="0"/>
              <w:right w:val="single" w:sz="4" w:color="7F7F7F" w:space="0"/>
            </w:tcBorders>
          </w:tcPr>
          <w:p w14:paraId="00394D97" w14:textId="77777777" w:rsidR="009840C7" w:rsidRDefault="009840C7" w:rsidP="00FF5481">
            <w:pPr>
              <w:spacing w:after="0"/>
              <w:jc w:val="left"/>
              <w:rPr>
                <w:rFonts w:ascii="Arial" w:hAnsi="Arial" w:eastAsia="Arial" w:cs="Arial"/>
                <w:sz w:val="20"/>
                <w:szCs w:val="20"/>
              </w:rPr>
            </w:pPr>
            <w:r>
              <w:rPr>
                <w:sz w:val="20"/>
                <w:rFonts w:ascii="Arial" w:hAnsi="Arial" w:eastAsia="Arial" w:cs="Arial"/>
                <w:szCs w:val="20"/>
              </w:rPr>
              <w:t>Find a technical term and the paper that defines it.</w:t>
            </w:r>
          </w:p>
        </w:tc>
      </w:tr>
      <w:tr w:rsidR="009840C7" w14:paraId="0AEAB928" w14:textId="77777777" w:rsidTr="00FF5481">
        <w:trPr>
          <w:cantSplit/>
          <w:jc w:val="center"/>
        </w:trPr>
        <w:tc>
          <w:tcPr>
            <w:tcW w:w="4637" w:type="dxa"/>
            <w:vAlign w:val="center"/>
            <w:tcBorders>
              <w:top w:val="single" w:sz="4" w:color="7F7F7F" w:space="0"/>
              <w:left w:val="single" w:sz="4" w:color="7F7F7F" w:space="0"/>
              <w:bottom w:val="single" w:sz="4" w:color="7F7F7F" w:space="0"/>
              <w:right w:val="single" w:sz="4" w:color="7F7F7F" w:space="0"/>
            </w:tcBorders>
          </w:tcPr>
          <w:p w14:paraId="221E147D" w14:textId="77777777" w:rsidR="009840C7" w:rsidRDefault="009840C7" w:rsidP="00FF5481">
            <w:pPr>
              <w:spacing w:after="0"/>
              <w:jc w:val="left"/>
              <w:rPr>
                <w:rFonts w:ascii="Arial" w:hAnsi="Arial" w:eastAsia="Arial" w:cs="Arial"/>
                <w:sz w:val="20"/>
                <w:szCs w:val="20"/>
              </w:rPr>
            </w:pPr>
            <w:r>
              <w:rPr>
                <w:b/>
                <w:sz w:val="20"/>
                <w:rFonts w:ascii="Arial" w:hAnsi="Arial" w:eastAsia="Arial" w:cs="Arial"/>
                <w:szCs w:val="20"/>
              </w:rPr>
              <w:t>MSD03</w:t>
            </w:r>
            <w:r>
              <w:rPr>
                <w:b/>
                <w:sz w:val="20"/>
                <w:rFonts w:ascii="Arial" w:hAnsi="Arial" w:eastAsia="Arial" w:cs="Arial"/>
                <w:szCs w:val="20"/>
              </w:rPr>
              <w:br/>
            </w:r>
            <w:hyperlink r:id="rId18">
              <w:r>
                <w:rPr>
                  <w:sz w:val="20"/>
                  <w:u w:val="single"/>
                  <w:rFonts w:ascii="Arial" w:hAnsi="Arial" w:eastAsia="Arial" w:cs="Arial"/>
                  <w:szCs w:val="20"/>
                </w:rPr>
                <w:t>Master Guardrail and Failure-Mode Register</w:t>
              </w:r>
            </w:hyperlink>
          </w:p>
        </w:tc>
        <w:tc>
          <w:tcPr>
            <w:tcW w:w="4389" w:type="dxa"/>
            <w:vAlign w:val="center"/>
            <w:tcBorders>
              <w:top w:val="single" w:sz="4" w:color="7F7F7F" w:space="0"/>
              <w:left w:val="single" w:sz="4" w:color="7F7F7F" w:space="0"/>
              <w:bottom w:val="single" w:sz="4" w:color="7F7F7F" w:space="0"/>
              <w:right w:val="single" w:sz="4" w:color="7F7F7F" w:space="0"/>
            </w:tcBorders>
          </w:tcPr>
          <w:p w14:paraId="7704B6EE" w14:textId="77777777" w:rsidR="009840C7" w:rsidRDefault="009840C7" w:rsidP="00FF5481">
            <w:pPr>
              <w:spacing w:after="0"/>
              <w:jc w:val="left"/>
              <w:rPr>
                <w:rFonts w:ascii="Arial" w:hAnsi="Arial" w:eastAsia="Arial" w:cs="Arial"/>
                <w:sz w:val="20"/>
                <w:szCs w:val="20"/>
              </w:rPr>
            </w:pPr>
            <w:r>
              <w:rPr>
                <w:sz w:val="20"/>
                <w:rFonts w:ascii="Arial" w:hAnsi="Arial" w:eastAsia="Arial" w:cs="Arial"/>
                <w:szCs w:val="20"/>
              </w:rPr>
              <w:t>Check known misreadings, failure modes and the relevant diagnostic guidance.</w:t>
            </w:r>
          </w:p>
        </w:tc>
      </w:tr>
      <w:tr w:rsidR="009840C7" w14:paraId="2AF11CF3" w14:textId="77777777" w:rsidTr="00FF5481">
        <w:trPr>
          <w:cantSplit/>
          <w:jc w:val="center"/>
        </w:trPr>
        <w:tc>
          <w:tcPr>
            <w:tcW w:w="4637" w:type="dxa"/>
            <w:vAlign w:val="center"/>
            <w:tcBorders>
              <w:top w:val="single" w:sz="4" w:color="7F7F7F" w:space="0"/>
              <w:left w:val="single" w:sz="4" w:color="7F7F7F" w:space="0"/>
              <w:bottom w:val="single" w:sz="4" w:color="7F7F7F" w:space="0"/>
              <w:right w:val="single" w:sz="4" w:color="7F7F7F" w:space="0"/>
            </w:tcBorders>
          </w:tcPr>
          <w:p w14:paraId="69CDEE33" w14:textId="77777777" w:rsidR="009840C7" w:rsidRDefault="009840C7" w:rsidP="00FF5481">
            <w:pPr>
              <w:spacing w:after="0"/>
              <w:jc w:val="left"/>
              <w:rPr>
                <w:rFonts w:ascii="Arial" w:hAnsi="Arial" w:eastAsia="Arial" w:cs="Arial"/>
                <w:sz w:val="20"/>
                <w:szCs w:val="20"/>
              </w:rPr>
            </w:pPr>
            <w:r>
              <w:rPr>
                <w:b/>
                <w:sz w:val="20"/>
                <w:rFonts w:ascii="Arial" w:hAnsi="Arial" w:eastAsia="Arial" w:cs="Arial"/>
                <w:szCs w:val="20"/>
              </w:rPr>
              <w:t>MSD04</w:t>
            </w:r>
            <w:r>
              <w:rPr>
                <w:b/>
                <w:sz w:val="20"/>
                <w:rFonts w:ascii="Arial" w:hAnsi="Arial" w:eastAsia="Arial" w:cs="Arial"/>
                <w:szCs w:val="20"/>
              </w:rPr>
              <w:br/>
            </w:r>
            <w:hyperlink r:id="rId19">
              <w:r>
                <w:rPr>
                  <w:sz w:val="20"/>
                  <w:u w:val="single"/>
                  <w:rFonts w:ascii="Arial" w:hAnsi="Arial" w:eastAsia="Arial" w:cs="Arial"/>
                  <w:szCs w:val="20"/>
                </w:rPr>
                <w:t>Master Bibliography and Relation Register</w:t>
              </w:r>
            </w:hyperlink>
          </w:p>
        </w:tc>
        <w:tc>
          <w:tcPr>
            <w:tcW w:w="4389" w:type="dxa"/>
            <w:vAlign w:val="center"/>
            <w:tcBorders>
              <w:top w:val="single" w:sz="4" w:color="7F7F7F" w:space="0"/>
              <w:left w:val="single" w:sz="4" w:color="7F7F7F" w:space="0"/>
              <w:bottom w:val="single" w:sz="4" w:color="7F7F7F" w:space="0"/>
              <w:right w:val="single" w:sz="4" w:color="7F7F7F" w:space="0"/>
            </w:tcBorders>
          </w:tcPr>
          <w:p w14:paraId="1C37FCFC" w14:textId="77777777" w:rsidR="009840C7" w:rsidRDefault="009840C7" w:rsidP="00FF5481">
            <w:pPr>
              <w:spacing w:after="0"/>
              <w:jc w:val="left"/>
              <w:rPr>
                <w:rFonts w:ascii="Arial" w:hAnsi="Arial" w:eastAsia="Arial" w:cs="Arial"/>
                <w:sz w:val="20"/>
                <w:szCs w:val="20"/>
              </w:rPr>
            </w:pPr>
            <w:r>
              <w:rPr>
                <w:sz w:val="20"/>
                <w:rFonts w:ascii="Arial" w:hAnsi="Arial" w:eastAsia="Arial" w:cs="Arial"/>
                <w:szCs w:val="20"/>
              </w:rPr>
              <w:t>Locate scholarly sources and their recorded relations to the papers.</w:t>
            </w:r>
          </w:p>
        </w:tc>
      </w:tr>
    </w:tbl>
    <w:p w14:paraId="1D01FB67" w14:textId="17C04491" w:rsidR="00B577D0" w:rsidRDefault="00B577D0">
      <w:pPr>
        <w:jc w:val="left"/>
        <w:rPr>
          <w:rFonts w:ascii="Arial" w:hAnsi="Arial" w:eastAsia="Arial" w:cs="Arial"/>
          <w:sz w:val="22"/>
          <w:szCs w:val="22"/>
        </w:rPr>
        <w:spacing w:before="0" w:after="0" w:line="240" w:lineRule="auto"/>
      </w:pPr>
    </w:p>
    <w:sectPr w:rsidR="00B577D0">
      <w:headerReference w:type="default" r:id="rId20"/>
      <w:footerReference w:type="default" r:id="rId21"/>
      <w:headerReference w:type="first" r:id="rId22"/>
      <w:footerReference w:type="first" r:id="rId23"/>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544E" w14:textId="77777777" w:rsidR="008976A8" w:rsidRDefault="008976A8">
      <w:pPr>
        <w:spacing w:after="0"/>
      </w:pPr>
      <w:r>
        <w:separator/>
      </w:r>
    </w:p>
  </w:endnote>
  <w:endnote w:type="continuationSeparator" w:id="0">
    <w:p w14:paraId="6C8AF8E6" w14:textId="77777777" w:rsidR="008976A8" w:rsidRDefault="008976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E7CA" w14:textId="77777777" w:rsidR="00B577D0" w:rsidRDefault="00000000">
    <w:pPr>
      <w:pStyle w:val="Footer1"/>
      <w:jc w:val="right"/>
    </w:pPr>
    <w:r>
      <w:rPr>
        <w:sz w:val="18"/>
        <w:rFonts w:ascii="Arial" w:hAnsi="Arial" w:eastAsia="Arial" w:cs="Arial"/>
        <w:szCs w:val="18"/>
      </w:rPr>
      <w:t xml:space="preserve">Issue 1  |  </w:t>
    </w:r>
    <w:r>
      <w:fldChar w:fldCharType="begin"/>
      <w:rPr>
        <w:rFonts w:ascii="Arial" w:hAnsi="Arial" w:eastAsia="Arial" w:cs="Arial"/>
        <w:sz w:val="18"/>
        <w:szCs w:val="18"/>
      </w:rPr>
    </w:r>
    <w:r>
      <w:instrText>PAGE</w:instrText>
      <w:rPr>
        <w:rFonts w:ascii="Arial" w:hAnsi="Arial" w:eastAsia="Arial" w:cs="Arial"/>
        <w:sz w:val="18"/>
        <w:szCs w:val="18"/>
      </w:rPr>
    </w:r>
    <w:r>
      <w:fldChar w:fldCharType="separate"/>
      <w:rPr>
        <w:rFonts w:ascii="Arial" w:hAnsi="Arial" w:eastAsia="Arial" w:cs="Arial"/>
        <w:sz w:val="18"/>
        <w:szCs w:val="18"/>
      </w:rPr>
    </w:r>
    <w:r>
      <w:rPr>
        <w:sz w:val="18"/>
        <w:rFonts w:ascii="Arial" w:hAnsi="Arial" w:eastAsia="Arial" w:cs="Arial"/>
        <w:szCs w:val="18"/>
      </w:rPr>
      <w:t>1</w:t>
    </w:r>
    <w:r>
      <w:rPr>
        <w:sz w:val="18"/>
        <w:rFonts w:ascii="Arial" w:hAnsi="Arial" w:eastAsia="Arial" w:cs="Arial"/>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04C4" w14:textId="77777777" w:rsidR="00B577D0" w:rsidRDefault="00B577D0">
    <w:pPr>
      <w:pStyle w:val="Head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C36D" w14:textId="77777777" w:rsidR="008976A8" w:rsidRDefault="008976A8">
      <w:pPr>
        <w:spacing w:after="0"/>
      </w:pPr>
      <w:r>
        <w:separator/>
      </w:r>
    </w:p>
  </w:footnote>
  <w:footnote w:type="continuationSeparator" w:id="0">
    <w:p w14:paraId="4975A426" w14:textId="77777777" w:rsidR="008976A8" w:rsidRDefault="008976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6C015" w14:textId="77777777" w:rsidR="00B577D0" w:rsidRDefault="00000000">
    <w:pPr>
      <w:pStyle w:val="Header1"/>
    </w:pPr>
    <w:r>
      <w:rPr>
        <w:sz w:val="18"/>
        <w:rFonts w:ascii="Arial" w:hAnsi="Arial" w:eastAsia="Arial" w:cs="Arial"/>
        <w:szCs w:val="18"/>
      </w:rPr>
      <w:t>GOT-V1-0-1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BC868" w14:textId="77777777" w:rsidR="00B577D0" w:rsidRDefault="00B577D0">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04A7A"/>
    <w:multiLevelType w:val="multilevel"/>
    <w:tmpl w:val="504CE98C"/>
    <w:lvl w:ilvl="0">
      <w:numFmt w:val="decimal"/>
      <w:pStyle w:val="Heading1"/>
      <w:lvlText w:val="%1."/>
      <w:lvlJc w:val="left"/>
      <w:pPr>
        <w:tabs>
          <w:tab w:val="num" w:pos="420"/>
        </w:tabs>
        <w:ind w:left="420" w:hanging="420"/>
      </w:pPr>
      <w:rPr>
        <w:rFonts w:ascii="Times New Roman" w:eastAsia="Times New Roman" w:hAnsi="Times New Roman" w:cs="Times New Roman"/>
        <w:b/>
        <w:bCs/>
        <w:color w:val="000000"/>
        <w:sz w:val="36"/>
        <w:szCs w:val="36"/>
      </w:rPr>
    </w:lvl>
    <w:lvl w:ilvl="1">
      <w:numFmt w:val="none"/>
      <w:pStyle w:val="Heading2"/>
      <w:lvlText w:val=""/>
      <w:lvlJc w:val="left"/>
      <w:pPr>
        <w:tabs>
          <w:tab w:val="num" w:pos="360"/>
        </w:tabs>
      </w:pPr>
    </w:lvl>
    <w:lvl w:ilvl="2">
      <w:numFmt w:val="none"/>
      <w:pStyle w:val="Heading3"/>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20000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BE0"/>
    <w:rsid w:val="002F41A3"/>
    <w:rsid w:val="003108D3"/>
    <w:rsid w:val="003963E7"/>
    <w:rsid w:val="00410764"/>
    <w:rsid w:val="004712EE"/>
    <w:rsid w:val="0057528B"/>
    <w:rsid w:val="006B6400"/>
    <w:rsid w:val="008044D2"/>
    <w:rsid w:val="008976A8"/>
    <w:rsid w:val="008A4BE0"/>
    <w:rsid w:val="008B2CEA"/>
    <w:rsid w:val="009840C7"/>
    <w:rsid w:val="00A002F7"/>
    <w:rsid w:val="00B577D0"/>
    <w:rsid w:val="00C63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159FD"/>
  <w15:chartTrackingRefBased/>
  <w15:docId w15:val="{C598C875-D7DA-174D-8A27-25CA2E96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jc w:val="both"/>
    </w:pPr>
    <w:rPr>
      <w:rFonts w:ascii="Arial" w:eastAsia="Arial" w:hAnsi="Arial" w:cs="Arial"/>
      <w:color w:val="000000"/>
      <w:sz w:val="22"/>
      <w:szCs w:val="22"/>
    </w:rPr>
  </w:style>
  <w:style w:type="paragraph" w:styleId="Heading1">
    <w:name w:val="heading 1"/>
    <w:basedOn w:val="Normal"/>
    <w:next w:val="Normal"/>
    <w:link w:val="Heading1Char"/>
    <w:uiPriority w:val="9"/>
    <w:qFormat/>
    <w:rsid w:val="00801F37"/>
    <w:pPr>
      <w:keepNext/>
      <w:keepLines/>
      <w:numPr>
        <w:numId w:val="1"/>
      </w:numPr>
      <w:spacing w:before="240"/>
      <w:ind w:left="0" w:firstLine="0"/>
      <w:jc w:val="left"/>
      <w:outlineLvl w:val="0"/>
    </w:pPr>
    <w:rPr>
      <w:b w:val="1"/>
      <w:bCs w:val="1"/>
      <w:sz w:val="30"/>
      <w:szCs w:val="30"/>
      <w:rFonts w:ascii="Arial" w:hAnsi="Arial" w:eastAsia="Arial" w:cs="Arial"/>
    </w:rPr>
  </w:style>
  <w:style w:type="paragraph" w:styleId="Heading2">
    <w:name w:val="heading 2"/>
    <w:basedOn w:val="Normal"/>
    <w:next w:val="Normal"/>
    <w:link w:val="Heading2Char"/>
    <w:uiPriority w:val="9"/>
    <w:unhideWhenUsed/>
    <w:qFormat/>
    <w:rsid w:val="00801F37"/>
    <w:pPr>
      <w:keepNext/>
      <w:keepLines/>
      <w:numPr>
        <w:ilvl w:val="1"/>
        <w:numId w:val="1"/>
      </w:numPr>
      <w:spacing w:before="480"/>
      <w:jc w:val="left"/>
      <w:outlineLvl w:val="1"/>
    </w:pPr>
    <w:rPr>
      <w:b w:val="1"/>
      <w:bCs w:val="1"/>
      <w:sz w:val="24"/>
      <w:szCs w:val="24"/>
      <w:rFonts w:ascii="Arial" w:hAnsi="Arial" w:eastAsia="Arial" w:cs="Arial"/>
    </w:rPr>
  </w:style>
  <w:style w:type="paragraph" w:styleId="Heading3">
    <w:name w:val="heading 3"/>
    <w:basedOn w:val="Normal"/>
    <w:next w:val="Normal"/>
    <w:link w:val="Heading3Char"/>
    <w:uiPriority w:val="9"/>
    <w:unhideWhenUsed/>
    <w:qFormat/>
    <w:rsid w:val="00801F37"/>
    <w:pPr>
      <w:keepNext/>
      <w:keepLines/>
      <w:numPr>
        <w:ilvl w:val="2"/>
        <w:numId w:val="1"/>
      </w:numPr>
      <w:spacing w:before="420" w:after="60"/>
      <w:jc w:val="left"/>
      <w:outlineLvl w:val="2"/>
    </w:pPr>
    <w:rPr>
      <w:b w:val="1"/>
      <w:bCs w:val="1"/>
      <w:rFonts w:ascii="Arial" w:hAnsi="Arial" w:eastAsia="Arial" w:cs="Arial"/>
      <w:sz w:val="22"/>
      <w:szCs w:val="22"/>
    </w:rPr>
  </w:style>
  <w:style w:type="paragraph" w:styleId="Heading4">
    <w:name w:val="heading 4"/>
    <w:basedOn w:val="Normal"/>
    <w:next w:val="Normal"/>
    <w:link w:val="Heading4Char"/>
    <w:uiPriority w:val="9"/>
    <w:semiHidden/>
    <w:unhideWhenUsed/>
    <w:qFormat/>
    <w:rsid w:val="008A4BE0"/>
    <w:pPr>
      <w:keepNext/>
      <w:keepLines/>
      <w:spacing w:before="80" w:after="40"/>
      <w:outlineLvl w:val="3"/>
    </w:pPr>
    <w:rPr>
      <w:rFonts w:ascii="Arial" w:hAnsi="Arial" w:eastAsia="Arial" w:cs="Arial"/>
      <w:i/>
      <w:iCs/>
      <w:color w:val="0F4761" w:themeColor="accent1" w:themeShade="BF"/>
      <w:sz w:val="30"/>
      <w:szCs w:val="30"/>
      <w:b w:val="1"/>
      <w:bCs w:val="1"/>
    </w:rPr>
  </w:style>
  <w:style w:type="paragraph" w:styleId="Heading5">
    <w:name w:val="heading 5"/>
    <w:basedOn w:val="Normal"/>
    <w:next w:val="Normal"/>
    <w:link w:val="Heading5Char"/>
    <w:uiPriority w:val="9"/>
    <w:semiHidden/>
    <w:unhideWhenUsed/>
    <w:qFormat/>
    <w:rsid w:val="008A4BE0"/>
    <w:pPr>
      <w:keepNext/>
      <w:keepLines/>
      <w:spacing w:before="80" w:after="40"/>
      <w:outlineLvl w:val="4"/>
    </w:pPr>
    <w:rPr>
      <w:rFonts w:ascii="Arial" w:hAnsi="Arial" w:eastAsia="Arial" w:cs="Arial"/>
      <w:color w:val="0F4761" w:themeColor="accent1" w:themeShade="BF"/>
      <w:sz w:val="30"/>
      <w:szCs w:val="30"/>
      <w:b w:val="1"/>
      <w:bCs w:val="1"/>
    </w:rPr>
  </w:style>
  <w:style w:type="paragraph" w:styleId="Heading6">
    <w:name w:val="heading 6"/>
    <w:basedOn w:val="Normal"/>
    <w:next w:val="Normal"/>
    <w:link w:val="Heading6Char"/>
    <w:uiPriority w:val="9"/>
    <w:semiHidden/>
    <w:unhideWhenUsed/>
    <w:qFormat/>
    <w:rsid w:val="008A4BE0"/>
    <w:pPr>
      <w:keepNext/>
      <w:keepLines/>
      <w:spacing w:before="40" w:after="0"/>
      <w:outlineLvl w:val="5"/>
    </w:pPr>
    <w:rPr>
      <w:rFonts w:ascii="Arial" w:hAnsi="Arial" w:eastAsia="Arial" w:cs="Arial"/>
      <w:i/>
      <w:iCs/>
      <w:color w:val="595959" w:themeColor="text1" w:themeTint="A6"/>
      <w:sz w:val="30"/>
      <w:szCs w:val="30"/>
      <w:b w:val="1"/>
      <w:bCs w:val="1"/>
    </w:rPr>
  </w:style>
  <w:style w:type="paragraph" w:styleId="Heading7">
    <w:name w:val="heading 7"/>
    <w:basedOn w:val="Normal"/>
    <w:next w:val="Normal"/>
    <w:link w:val="Heading7Char"/>
    <w:uiPriority w:val="9"/>
    <w:semiHidden/>
    <w:unhideWhenUsed/>
    <w:qFormat/>
    <w:rsid w:val="008A4BE0"/>
    <w:pPr>
      <w:keepNext/>
      <w:keepLines/>
      <w:spacing w:before="40" w:after="0"/>
      <w:outlineLvl w:val="6"/>
    </w:pPr>
    <w:rPr>
      <w:rFonts w:ascii="Arial" w:hAnsi="Arial" w:eastAsia="Arial" w:cs="Arial"/>
      <w:color w:val="595959" w:themeColor="text1" w:themeTint="A6"/>
      <w:sz w:val="30"/>
      <w:szCs w:val="30"/>
      <w:b w:val="1"/>
      <w:bCs w:val="1"/>
    </w:rPr>
  </w:style>
  <w:style w:type="paragraph" w:styleId="Heading8">
    <w:name w:val="heading 8"/>
    <w:basedOn w:val="Normal"/>
    <w:next w:val="Normal"/>
    <w:link w:val="Heading8Char"/>
    <w:uiPriority w:val="9"/>
    <w:semiHidden/>
    <w:unhideWhenUsed/>
    <w:qFormat/>
    <w:rsid w:val="008A4BE0"/>
    <w:pPr>
      <w:keepNext/>
      <w:keepLines/>
      <w:spacing w:after="0"/>
      <w:outlineLvl w:val="7"/>
    </w:pPr>
    <w:rPr>
      <w:rFonts w:ascii="Arial" w:hAnsi="Arial" w:eastAsia="Arial" w:cs="Arial"/>
      <w:i/>
      <w:iCs/>
      <w:color w:val="272727" w:themeColor="text1" w:themeTint="D8"/>
      <w:sz w:val="30"/>
      <w:szCs w:val="30"/>
      <w:b w:val="1"/>
      <w:bCs w:val="1"/>
    </w:rPr>
  </w:style>
  <w:style w:type="paragraph" w:styleId="Heading9">
    <w:name w:val="heading 9"/>
    <w:basedOn w:val="Normal"/>
    <w:next w:val="Normal"/>
    <w:link w:val="Heading9Char"/>
    <w:uiPriority w:val="9"/>
    <w:semiHidden/>
    <w:unhideWhenUsed/>
    <w:qFormat/>
    <w:rsid w:val="008A4BE0"/>
    <w:pPr>
      <w:keepNext/>
      <w:keepLines/>
      <w:spacing w:after="0"/>
      <w:outlineLvl w:val="8"/>
    </w:pPr>
    <w:rPr>
      <w:rFonts w:ascii="Arial" w:hAnsi="Arial" w:eastAsia="Arial" w:cs="Arial"/>
      <w:color w:val="272727" w:themeColor="text1" w:themeTint="D8"/>
      <w:sz w:val="30"/>
      <w:szCs w:val="30"/>
      <w:b w:val="1"/>
      <w:bCs w:val="1"/>
    </w:rPr>
  </w:style>
  <w:style w:type="character" w:default="1" w:styleId="DefaultParagraphFont">
    <w:name w:val="Default Paragraph Font"/>
    <w:uiPriority w:val="1"/>
    <w:semiHidden/>
    <w:unhideWhenUsed/>
    <w:rPr>
      <w:rFonts w:ascii="Arial" w:hAnsi="Arial" w:eastAsia="Arial" w:cs="Arial"/>
      <w:sz w:val="22"/>
      <w:szCs w:val="22"/>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BE0"/>
    <w:rPr>
      <w:rFonts w:ascii="Arial" w:hAnsi="Arial" w:eastAsia="Arial" w:cs="Arial"/>
      <w:color w:val="0F4761" w:themeColor="accent1" w:themeShade="BF"/>
      <w:sz w:val="30"/>
      <w:szCs w:val="30"/>
      <w:b w:val="1"/>
      <w:bCs w:val="1"/>
    </w:rPr>
  </w:style>
  <w:style w:type="character" w:customStyle="1" w:styleId="Heading2Char">
    <w:name w:val="Heading 2 Char"/>
    <w:basedOn w:val="DefaultParagraphFont"/>
    <w:link w:val="Heading2"/>
    <w:uiPriority w:val="9"/>
    <w:rsid w:val="008A4BE0"/>
    <w:rPr>
      <w:rFonts w:ascii="Arial" w:hAnsi="Arial" w:eastAsia="Arial" w:cs="Arial"/>
      <w:color w:val="0F4761" w:themeColor="accent1" w:themeShade="BF"/>
      <w:sz w:val="24"/>
      <w:szCs w:val="24"/>
      <w:b w:val="1"/>
      <w:bCs w:val="1"/>
    </w:rPr>
  </w:style>
  <w:style w:type="character" w:customStyle="1" w:styleId="Heading3Char">
    <w:name w:val="Heading 3 Char"/>
    <w:basedOn w:val="DefaultParagraphFont"/>
    <w:link w:val="Heading3"/>
    <w:uiPriority w:val="9"/>
    <w:rsid w:val="008A4BE0"/>
    <w:rPr>
      <w:rFonts w:ascii="Arial" w:hAnsi="Arial" w:eastAsia="Arial" w:cs="Arial"/>
      <w:color w:val="0F4761" w:themeColor="accent1" w:themeShade="BF"/>
      <w:sz w:val="22"/>
      <w:szCs w:val="22"/>
      <w:b w:val="1"/>
      <w:bCs w:val="1"/>
    </w:rPr>
  </w:style>
  <w:style w:type="character" w:customStyle="1" w:styleId="Heading4Char">
    <w:name w:val="Heading 4 Char"/>
    <w:basedOn w:val="DefaultParagraphFont"/>
    <w:link w:val="Heading4"/>
    <w:uiPriority w:val="9"/>
    <w:semiHidden/>
    <w:rsid w:val="008A4BE0"/>
    <w:rPr>
      <w:rFonts w:ascii="Arial" w:hAnsi="Arial" w:eastAsia="Arial" w:cs="Arial"/>
      <w:i/>
      <w:iCs/>
      <w:color w:val="0F4761" w:themeColor="accent1" w:themeShade="BF"/>
      <w:sz w:val="30"/>
      <w:szCs w:val="30"/>
      <w:b w:val="1"/>
      <w:bCs w:val="1"/>
    </w:rPr>
  </w:style>
  <w:style w:type="character" w:customStyle="1" w:styleId="Heading5Char">
    <w:name w:val="Heading 5 Char"/>
    <w:basedOn w:val="DefaultParagraphFont"/>
    <w:link w:val="Heading5"/>
    <w:uiPriority w:val="9"/>
    <w:semiHidden/>
    <w:rsid w:val="008A4BE0"/>
    <w:rPr>
      <w:rFonts w:ascii="Arial" w:hAnsi="Arial" w:eastAsia="Arial" w:cs="Arial"/>
      <w:color w:val="0F4761" w:themeColor="accent1" w:themeShade="BF"/>
      <w:sz w:val="30"/>
      <w:szCs w:val="30"/>
      <w:b w:val="1"/>
      <w:bCs w:val="1"/>
    </w:rPr>
  </w:style>
  <w:style w:type="character" w:customStyle="1" w:styleId="Heading6Char">
    <w:name w:val="Heading 6 Char"/>
    <w:basedOn w:val="DefaultParagraphFont"/>
    <w:link w:val="Heading6"/>
    <w:uiPriority w:val="9"/>
    <w:semiHidden/>
    <w:rsid w:val="008A4BE0"/>
    <w:rPr>
      <w:rFonts w:ascii="Arial" w:hAnsi="Arial" w:eastAsia="Arial" w:cs="Arial"/>
      <w:i/>
      <w:iCs/>
      <w:color w:val="595959" w:themeColor="text1" w:themeTint="A6"/>
      <w:sz w:val="30"/>
      <w:szCs w:val="30"/>
      <w:b w:val="1"/>
      <w:bCs w:val="1"/>
    </w:rPr>
  </w:style>
  <w:style w:type="character" w:customStyle="1" w:styleId="Heading7Char">
    <w:name w:val="Heading 7 Char"/>
    <w:basedOn w:val="DefaultParagraphFont"/>
    <w:link w:val="Heading7"/>
    <w:uiPriority w:val="9"/>
    <w:semiHidden/>
    <w:rsid w:val="008A4BE0"/>
    <w:rPr>
      <w:rFonts w:ascii="Arial" w:hAnsi="Arial" w:eastAsia="Arial" w:cs="Arial"/>
      <w:color w:val="595959" w:themeColor="text1" w:themeTint="A6"/>
      <w:sz w:val="30"/>
      <w:szCs w:val="30"/>
      <w:b w:val="1"/>
      <w:bCs w:val="1"/>
    </w:rPr>
  </w:style>
  <w:style w:type="character" w:customStyle="1" w:styleId="Heading8Char">
    <w:name w:val="Heading 8 Char"/>
    <w:basedOn w:val="DefaultParagraphFont"/>
    <w:link w:val="Heading8"/>
    <w:uiPriority w:val="9"/>
    <w:semiHidden/>
    <w:rsid w:val="008A4BE0"/>
    <w:rPr>
      <w:rFonts w:ascii="Arial" w:hAnsi="Arial" w:eastAsia="Arial" w:cs="Arial"/>
      <w:i/>
      <w:iCs/>
      <w:color w:val="272727" w:themeColor="text1" w:themeTint="D8"/>
      <w:sz w:val="30"/>
      <w:szCs w:val="30"/>
      <w:b w:val="1"/>
      <w:bCs w:val="1"/>
    </w:rPr>
  </w:style>
  <w:style w:type="character" w:customStyle="1" w:styleId="Heading9Char">
    <w:name w:val="Heading 9 Char"/>
    <w:basedOn w:val="DefaultParagraphFont"/>
    <w:link w:val="Heading9"/>
    <w:uiPriority w:val="9"/>
    <w:semiHidden/>
    <w:rsid w:val="008A4BE0"/>
    <w:rPr>
      <w:rFonts w:ascii="Arial" w:hAnsi="Arial" w:eastAsia="Arial" w:cs="Arial"/>
      <w:color w:val="272727" w:themeColor="text1" w:themeTint="D8"/>
      <w:sz w:val="30"/>
      <w:szCs w:val="30"/>
      <w:b w:val="1"/>
      <w:bCs w:val="1"/>
    </w:rPr>
  </w:style>
  <w:style w:type="character" w:customStyle="1" w:styleId="TitleChar">
    <w:name w:val="Title Char"/>
    <w:basedOn w:val="DefaultParagraphFont"/>
    <w:link w:val="Title"/>
    <w:uiPriority w:val="10"/>
    <w:rsid w:val="008A4BE0"/>
    <w:rPr>
      <w:rFonts w:ascii="Arial" w:hAnsi="Arial" w:eastAsia="Arial" w:cs="Arial"/>
      <w:spacing w:val="-10"/>
      <w:kern w:val="28"/>
      <w:sz w:val="22"/>
      <w:szCs w:val="22"/>
    </w:rPr>
  </w:style>
  <w:style w:type="character" w:customStyle="1" w:styleId="SubtitleChar">
    <w:name w:val="Subtitle Char"/>
    <w:basedOn w:val="DefaultParagraphFont"/>
    <w:link w:val="Subtitle"/>
    <w:uiPriority w:val="11"/>
    <w:rsid w:val="008A4BE0"/>
    <w:rPr>
      <w:rFonts w:ascii="Arial" w:hAnsi="Arial" w:eastAsia="Arial" w:cs="Arial"/>
      <w:color w:val="595959" w:themeColor="text1" w:themeTint="A6"/>
      <w:spacing w:val="15"/>
      <w:sz w:val="22"/>
      <w:szCs w:val="22"/>
    </w:rPr>
  </w:style>
  <w:style w:type="paragraph" w:styleId="Quote">
    <w:name w:val="Quote"/>
    <w:basedOn w:val="Normal"/>
    <w:next w:val="Normal"/>
    <w:link w:val="QuoteChar"/>
    <w:uiPriority w:val="29"/>
    <w:qFormat/>
    <w:rsid w:val="008A4BE0"/>
    <w:pPr>
      <w:spacing w:before="160"/>
      <w:jc w:val="center"/>
    </w:pPr>
    <w:rPr>
      <w:i/>
      <w:iCs/>
      <w:color w:val="404040" w:themeColor="text1" w:themeTint="BF"/>
      <w:rFonts w:ascii="Arial" w:hAnsi="Arial" w:eastAsia="Arial" w:cs="Arial"/>
      <w:sz w:val="22"/>
      <w:szCs w:val="22"/>
    </w:rPr>
  </w:style>
  <w:style w:type="character" w:customStyle="1" w:styleId="QuoteChar">
    <w:name w:val="Quote Char"/>
    <w:basedOn w:val="DefaultParagraphFont"/>
    <w:link w:val="Quote"/>
    <w:uiPriority w:val="29"/>
    <w:rsid w:val="008A4BE0"/>
    <w:rPr>
      <w:i/>
      <w:iCs/>
      <w:color w:val="404040" w:themeColor="text1" w:themeTint="BF"/>
      <w:rFonts w:ascii="Arial" w:hAnsi="Arial" w:eastAsia="Arial" w:cs="Arial"/>
      <w:sz w:val="22"/>
      <w:szCs w:val="22"/>
    </w:rPr>
  </w:style>
  <w:style w:type="character" w:styleId="IntenseEmphasis">
    <w:name w:val="Intense Emphasis"/>
    <w:basedOn w:val="DefaultParagraphFont"/>
    <w:uiPriority w:val="21"/>
    <w:qFormat/>
    <w:rsid w:val="008A4BE0"/>
    <w:rPr>
      <w:i/>
      <w:iCs/>
      <w:color w:val="0F4761" w:themeColor="accent1" w:themeShade="BF"/>
      <w:rFonts w:ascii="Arial" w:hAnsi="Arial" w:eastAsia="Arial" w:cs="Arial"/>
      <w:sz w:val="22"/>
      <w:szCs w:val="22"/>
    </w:rPr>
  </w:style>
  <w:style w:type="paragraph" w:styleId="IntenseQuote">
    <w:name w:val="Intense Quote"/>
    <w:basedOn w:val="Normal"/>
    <w:next w:val="Normal"/>
    <w:link w:val="IntenseQuoteChar"/>
    <w:uiPriority w:val="30"/>
    <w:qFormat/>
    <w:rsid w:val="008A4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Fonts w:ascii="Arial" w:hAnsi="Arial" w:eastAsia="Arial" w:cs="Arial"/>
      <w:sz w:val="22"/>
      <w:szCs w:val="22"/>
    </w:rPr>
  </w:style>
  <w:style w:type="character" w:customStyle="1" w:styleId="IntenseQuoteChar">
    <w:name w:val="Intense Quote Char"/>
    <w:basedOn w:val="DefaultParagraphFont"/>
    <w:link w:val="IntenseQuote"/>
    <w:uiPriority w:val="30"/>
    <w:rsid w:val="008A4BE0"/>
    <w:rPr>
      <w:i/>
      <w:iCs/>
      <w:color w:val="0F4761" w:themeColor="accent1" w:themeShade="BF"/>
      <w:rFonts w:ascii="Arial" w:hAnsi="Arial" w:eastAsia="Arial" w:cs="Arial"/>
      <w:sz w:val="22"/>
      <w:szCs w:val="22"/>
    </w:rPr>
  </w:style>
  <w:style w:type="character" w:styleId="IntenseReference">
    <w:name w:val="Intense Reference"/>
    <w:basedOn w:val="DefaultParagraphFont"/>
    <w:uiPriority w:val="32"/>
    <w:qFormat/>
    <w:rsid w:val="008A4BE0"/>
    <w:rPr>
      <w:b/>
      <w:bCs/>
      <w:smallCaps/>
      <w:color w:val="0F4761" w:themeColor="accent1" w:themeShade="BF"/>
      <w:spacing w:val="5"/>
      <w:rFonts w:ascii="Arial" w:hAnsi="Arial" w:eastAsia="Arial" w:cs="Arial"/>
      <w:sz w:val="22"/>
      <w:szCs w:val="22"/>
    </w:rPr>
  </w:style>
  <w:style w:type="paragraph" w:styleId="NormalWeb">
    <w:name w:val="Normal (Web)"/>
    <w:basedOn w:val="Normal"/>
    <w:uiPriority w:val="99"/>
    <w:semiHidden/>
    <w:unhideWhenUsed/>
    <w:rsid w:val="008A4BE0"/>
    <w:pPr>
      <w:spacing w:before="100" w:beforeAutospacing="1" w:after="100" w:afterAutospacing="1"/>
    </w:pPr>
    <w:rPr>
      <w:kern w:val="0"/>
      <w:lang w:eastAsia="en-GB"/>
      <w14:ligatures w14:val="none"/>
      <w:rFonts w:ascii="Arial" w:hAnsi="Arial" w:eastAsia="Arial" w:cs="Arial"/>
      <w:sz w:val="22"/>
      <w:szCs w:val="22"/>
    </w:rPr>
  </w:style>
  <w:style w:type="character" w:styleId="Strong">
    <w:name w:val="Strong"/>
    <w:basedOn w:val="DefaultParagraphFont"/>
    <w:uiPriority w:val="22"/>
    <w:qFormat/>
    <w:rsid w:val="008A4BE0"/>
    <w:rPr>
      <w:b/>
      <w:bCs/>
      <w:rFonts w:ascii="Arial" w:hAnsi="Arial" w:eastAsia="Arial" w:cs="Arial"/>
      <w:sz w:val="22"/>
      <w:szCs w:val="22"/>
    </w:rPr>
  </w:style>
  <w:style w:type="paragraph" w:styleId="Title">
    <w:name w:val="Title"/>
    <w:basedOn w:val="Normal"/>
    <w:next w:val="Normal"/>
    <w:link w:val="TitleChar"/>
    <w:uiPriority w:val="10"/>
    <w:qFormat/>
    <w:rsid w:val="00801F37"/>
    <w:pPr>
      <w:keepNext/>
      <w:keepLines/>
      <w:jc w:val="center"/>
    </w:pPr>
    <w:rPr>
      <w:b w:val="1"/>
      <w:bCs w:val="1"/>
      <w:sz w:val="40"/>
      <w:szCs w:val="40"/>
      <w:rFonts w:ascii="Arial" w:hAnsi="Arial" w:eastAsia="Arial" w:cs="Arial"/>
    </w:rPr>
  </w:style>
  <w:style w:type="paragraph" w:styleId="Subtitle">
    <w:name w:val="Subtitle"/>
    <w:basedOn w:val="Normal"/>
    <w:next w:val="Normal"/>
    <w:link w:val="SubtitleChar"/>
    <w:uiPriority w:val="11"/>
    <w:qFormat/>
    <w:rsid w:val="00801F37"/>
    <w:pPr>
      <w:keepNext/>
      <w:keepLines/>
      <w:jc w:val="center"/>
    </w:pPr>
    <w:rPr>
      <w:rFonts w:ascii="Arial" w:hAnsi="Arial" w:eastAsia="Arial" w:cs="Arial"/>
      <w:sz w:val="22"/>
      <w:szCs w:val="22"/>
    </w:rPr>
  </w:style>
  <w:style w:type="paragraph" w:customStyle="1" w:styleId="DocumentIdentifier">
    <w:name w:val="Document Identifier"/>
    <w:basedOn w:val="Normal"/>
    <w:pPr>
      <w:keepNext/>
      <w:keepLines/>
      <w:jc w:val="center"/>
    </w:pPr>
    <w:rPr>
      <w:sz w:val="22"/>
      <w:szCs w:val="22"/>
      <w:rFonts w:ascii="Arial" w:hAnsi="Arial" w:eastAsia="Arial" w:cs="Arial"/>
    </w:rPr>
  </w:style>
  <w:style w:type="paragraph" w:customStyle="1" w:styleId="AbstractHeading">
    <w:name w:val="Abstract Heading"/>
    <w:basedOn w:val="Normal"/>
    <w:pPr>
      <w:keepNext/>
      <w:keepLines/>
      <w:jc w:val="left"/>
    </w:pPr>
    <w:rPr>
      <w:b w:val="1"/>
      <w:bCs w:val="1"/>
      <w:sz w:val="30"/>
      <w:szCs w:val="30"/>
      <w:rFonts w:ascii="Arial" w:hAnsi="Arial" w:eastAsia="Arial" w:cs="Arial"/>
    </w:rPr>
  </w:style>
  <w:style w:type="paragraph" w:customStyle="1" w:styleId="EndMatterHeading">
    <w:name w:val="End Matter Heading"/>
    <w:basedOn w:val="Normal"/>
    <w:pPr>
      <w:keepNext/>
      <w:keepLines/>
      <w:spacing w:before="360"/>
      <w:jc w:val="left"/>
    </w:pPr>
    <w:rPr>
      <w:b w:val="1"/>
      <w:bCs w:val="1"/>
      <w:sz w:val="30"/>
      <w:szCs w:val="30"/>
      <w:rFonts w:ascii="Arial" w:hAnsi="Arial" w:eastAsia="Arial" w:cs="Arial"/>
    </w:rPr>
  </w:style>
  <w:style w:type="paragraph" w:customStyle="1" w:styleId="ComponentLabel">
    <w:name w:val="Component Label"/>
    <w:basedOn w:val="Normal"/>
    <w:pPr>
      <w:keepNext/>
      <w:keepLines/>
      <w:spacing w:before="120" w:after="60"/>
      <w:jc w:val="left"/>
    </w:pPr>
    <w:rPr>
      <w:b/>
      <w:bCs/>
      <w:rFonts w:ascii="Arial" w:hAnsi="Arial" w:eastAsia="Arial" w:cs="Arial"/>
      <w:sz w:val="22"/>
      <w:szCs w:val="22"/>
    </w:rPr>
  </w:style>
  <w:style w:type="paragraph" w:styleId="ListParagraph">
    <w:name w:val="List Paragraph"/>
    <w:basedOn w:val="Normal"/>
    <w:uiPriority w:val="34"/>
    <w:qFormat/>
    <w:rsid w:val="00801F37"/>
    <w:pPr>
      <w:spacing w:after="60"/>
      <w:ind w:left="567" w:hanging="283"/>
      <w:jc w:val="left"/>
    </w:pPr>
    <w:rPr>
      <w:rFonts w:ascii="Arial" w:hAnsi="Arial" w:eastAsia="Arial" w:cs="Arial"/>
      <w:sz w:val="22"/>
      <w:szCs w:val="22"/>
    </w:rPr>
  </w:style>
  <w:style w:type="paragraph" w:customStyle="1" w:styleId="Header1">
    <w:name w:val="Header1"/>
    <w:basedOn w:val="Normal"/>
    <w:pPr>
      <w:spacing w:after="0"/>
      <w:jc w:val="left"/>
    </w:pPr>
    <w:rPr>
      <w:sz w:val="18"/>
      <w:szCs w:val="18"/>
      <w:rFonts w:ascii="Arial" w:hAnsi="Arial" w:eastAsia="Arial" w:cs="Arial"/>
    </w:rPr>
  </w:style>
  <w:style w:type="paragraph" w:customStyle="1" w:styleId="Footer1">
    <w:name w:val="Footer1"/>
    <w:basedOn w:val="Normal"/>
    <w:pPr>
      <w:spacing w:after="0"/>
      <w:jc w:val="center"/>
    </w:pPr>
    <w:rPr>
      <w:sz w:val="18"/>
      <w:szCs w:val="18"/>
      <w:rFonts w:ascii="Arial" w:hAnsi="Arial" w:eastAsia="Arial" w:cs="Arial"/>
    </w:rPr>
  </w:style>
  <w:style w:type="paragraph" w:styleId="FlattenedHeading1" w:customStyle="1">
    <w:name w:val="Flattened heading 1"/>
    <w:basedOn w:val="Normal"/>
    <w:next w:val="Normal"/>
    <w:link w:val="Heading1Char"/>
    <w:uiPriority w:val="9"/>
    <w:qFormat/>
    <w:rsid w:val="00801F37"/>
    <w:pPr>
      <w:keepNext/>
      <w:keepLines/>
      <w:numPr>
        <w:numId w:val="1"/>
      </w:numPr>
      <w:spacing w:before="240"/>
      <w:ind w:left="0" w:firstLine="0"/>
      <w:jc w:val="left"/>
      <w:outlineLvl w:val="9"/>
    </w:pPr>
    <w:rPr>
      <w:b w:val="1"/>
      <w:bCs w:val="1"/>
      <w:sz w:val="30"/>
      <w:szCs w:val="30"/>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Part%201%20-%20On%20The%20Origin%20Of%20Life/GOT-V1-1-0%20-%20Part%201%20Prelude%20-%20Issue%201.docx" TargetMode="External"/><Relationship Id="rId13" Type="http://schemas.openxmlformats.org/officeDocument/2006/relationships/hyperlink" Target="../Part%203%20-%20The%20Epistemic%20Method/Section%203c%20-%20The%20Epistemic%20Method/GOT-V1-3c-0%20-%20Part%203c%20Prelude%20-%20Issue%201.docx" TargetMode="External"/><Relationship Id="rId18" Type="http://schemas.openxmlformats.org/officeDocument/2006/relationships/hyperlink" Target="Full%20Series%20support/GOT-V1-MSD03%20-%20Master%20Guardrail%20and%20Failure-Mode%20Register%20-%20Issue%201.docx"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Part%203%20-%20The%20Epistemic%20Method/Section%203b%20-%20With%20Power%20Comes/GOT-V1-3b-0%20-%20Part%203b%20Prelude%20-%20Issue%201.docx" TargetMode="External"/><Relationship Id="rId17" Type="http://schemas.openxmlformats.org/officeDocument/2006/relationships/hyperlink" Target="Full%20Series%20support/GOT-V1-MSD02%20-%20Master%20Glossary%20and%20Canonical%20Ownership%20Register%20-%20Issue%201.doc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ull%20Series%20support/GOT-V1-MSD01%20-%20Master%20Concept%20Compression%20Map%20-%20Issue%201.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Part%203%20-%20The%20Epistemic%20Method/Section%203a%20-%20Horizon%20and%20the%20Unknown%20Beyond/GOT-V1-3a-0%20-%20Part%203a%20Prelude%20-%20Issue%201.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ull%20Series%20support/GOT-V1-MSD00%20-%20Master%20Support%20Index%20and%20Source%20Register%20-%20Issue%201.docx" TargetMode="External"/><Relationship Id="rId23" Type="http://schemas.openxmlformats.org/officeDocument/2006/relationships/footer" Target="footer2.xml"/><Relationship Id="rId10" Type="http://schemas.openxmlformats.org/officeDocument/2006/relationships/hyperlink" Target="../Part%202%20-%20Informational%20Architecture/Section%202b%20-%20Knowloedge%2C%20Intelegence%2C%20Observation/GOT-V1-2b-0%20-%20Part%202b%20Prelude%20-%20Issue%201.docx" TargetMode="External"/><Relationship Id="rId19" Type="http://schemas.openxmlformats.org/officeDocument/2006/relationships/hyperlink" Target="Full%20Series%20support/GOT-V1-MSD04%20-%20Master%20Bibliography%20and%20Relation%20Register%20-%20Issue%201.docx" TargetMode="External"/><Relationship Id="rId4" Type="http://schemas.openxmlformats.org/officeDocument/2006/relationships/settings" Target="settings.xml"/><Relationship Id="rId9" Type="http://schemas.openxmlformats.org/officeDocument/2006/relationships/hyperlink" Target="../Part%202%20-%20Informational%20Architecture/Section%202a%20-%20Informational%20Architecture/GOT-V1-2a-0%20-%20Part%202a%20Prelude%20-%20Issue%201.docx" TargetMode="External"/><Relationship Id="rId14" Type="http://schemas.openxmlformats.org/officeDocument/2006/relationships/hyperlink" Target="../../GOT%20-%20Issue%201/GOT%20-%20Volume%201%20-%20The%20Epistemic%20Method/Part%200%20-%20Orientation%2C%20and%20Pending%20Review/GOT%20Book%20-%20Pending%20Review/GOT%20Book%20-%20Test%20Read%201.pdf"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EA8BD-6A69-4525-80F2-2C9FF0646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Reading Guide</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Guide</dc:title>
  <dc:subject>General Organisation Theory Part 0 Issue 1</dc:subject>
  <dc:creator>Patrick Pullara</dc:creator>
  <cp:keywords>GOT, Part 0, reading guide, Issue 1</cp:keywords>
  <dc:description/>
  <cp:lastModifiedBy>Pat Pullara</cp:lastModifiedBy>
  <cp:revision>4</cp:revision>
  <dcterms:created xsi:type="dcterms:W3CDTF">2026-08-07T20:28:00Z</dcterms:created>
  <dcterms:modified xsi:type="dcterms:W3CDTF">2026-10-06T16:17:00Z</dcterms:modified>
</cp:coreProperties>
</file>